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2025年一季度邵阳市各区县及公用电网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设备分布式光伏可开放容量计算结果说明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根据计算原则，截至2024年12月底，邵阳市各区县分布式光伏接入可开放容量为137.38兆瓦。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区县可开放容量情况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（一）红色区域（区县可开放容量≤0）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截至2024年12月底，邵阳市可开放容量为红色的区县共4个，分别为隆回县、邵阳县、新邵县、武冈市。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（二）黄色区域（0＜区县可开放容量＜20兆瓦）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截至2024年12月底，邵阳市可开放容量为黄色的区县共6个，分别为大祥区、北塔区、洞口县、新宁县、绥宁县、城步县。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绿色区域</w:t>
      </w:r>
      <w:r>
        <w:rPr>
          <w:rFonts w:hint="eastAsia" w:ascii="楷体_GB2312" w:hAnsi="楷体_GB2312" w:eastAsia="楷体_GB2312" w:cs="楷体_GB2312"/>
          <w:sz w:val="32"/>
          <w:szCs w:val="32"/>
          <w:lang w:val="en-US" w:eastAsia="zh-CN"/>
        </w:rPr>
        <w:t>（区县可开放容量＞20兆瓦）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截至2024年12月底，邵阳市可开放容量为绿色的区县共2个，分别为双清区、邵东市。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可开放容量是以分布式光伏发电项目不向220千伏电网反送电为边界，并考虑各区县在途光伏容量后计算得出。其中在途光伏项目投产后的发电效率、区域用电负荷的增长以及电网基建改造项目投产均会影响区县可开放容量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与2024年四季度相比，2025年一季度新邵县、武冈市由黄色区域调整为红色区域，城步县由红色区域调整为黄色区域，其余区县承载力评估等级维持不变。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乡镇可开放容量情况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受本级或上级变电站、线路可开放容量影响，部分区县承载力评估等级为黄色或绿色，但下辖乡镇可开放容量不足，影</w:t>
      </w:r>
      <w:r>
        <w:rPr>
          <w:rFonts w:hint="eastAsia" w:ascii="仿宋_GB2312" w:hAnsi="仿宋_GB2312" w:eastAsia="仿宋_GB2312" w:cs="仿宋_GB2312"/>
          <w:sz w:val="32"/>
          <w:szCs w:val="32"/>
          <w:highlight w:val="none"/>
          <w:lang w:val="en-US" w:eastAsia="zh-CN"/>
        </w:rPr>
        <w:t>响分布式光伏接入。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可开放容量为红色区域的乡镇明细如下：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隆回县：所有乡镇；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邵阳县：</w:t>
      </w:r>
      <w:r>
        <w:rPr>
          <w:rFonts w:hint="default" w:ascii="仿宋_GB2312" w:hAnsi="仿宋_GB2312" w:eastAsia="仿宋_GB2312" w:cs="仿宋_GB2312"/>
          <w:sz w:val="32"/>
          <w:szCs w:val="32"/>
          <w:highlight w:val="none"/>
          <w:lang w:val="en-US" w:eastAsia="zh-CN"/>
        </w:rPr>
        <w:t>所有乡镇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新邵县：所有乡镇；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武冈市：所有乡镇；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洞口县：黄桥镇、罗溪瑶族乡、渣坪乡；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绥宁县</w:t>
      </w:r>
      <w:r>
        <w:rPr>
          <w:rFonts w:hint="eastAsia" w:ascii="仿宋_GB2312" w:hAnsi="仿宋_GB2312" w:eastAsia="仿宋_GB2312" w:cs="仿宋_GB2312"/>
          <w:sz w:val="32"/>
          <w:szCs w:val="32"/>
          <w:highlight w:val="none"/>
          <w:lang w:val="en-US" w:eastAsia="zh-CN"/>
        </w:rPr>
        <w:t>：武阳镇、李熙桥镇；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城步县：西岩镇、丹口镇、金紫乡、威溪乡；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新宁县</w:t>
      </w:r>
      <w:r>
        <w:rPr>
          <w:rFonts w:hint="eastAsia" w:ascii="仿宋_GB2312" w:hAnsi="仿宋_GB2312" w:eastAsia="仿宋_GB2312" w:cs="仿宋_GB2312"/>
          <w:sz w:val="32"/>
          <w:szCs w:val="32"/>
          <w:highlight w:val="none"/>
          <w:lang w:val="en-US" w:eastAsia="zh-CN"/>
        </w:rPr>
        <w:t>：安山乡、高桥镇、黄金瑶族乡、黄龙镇、崀山镇、麻林瑶族乡、清江桥乡、水庙镇。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设备可开放容量情况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红色区域设备（设备可开放容量</w:t>
      </w:r>
      <w:r>
        <w:rPr>
          <w:rFonts w:hint="eastAsia" w:ascii="楷体_GB2312" w:hAnsi="楷体_GB2312" w:eastAsia="楷体_GB2312" w:cs="楷体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截至2024年12月底，邵阳市公用电网设备可开放容量为红色的台区18454个。</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黄色区域设备（</w:t>
      </w:r>
      <w:r>
        <w:rPr>
          <w:rFonts w:hint="eastAsia" w:ascii="楷体_GB2312" w:hAnsi="楷体_GB2312" w:eastAsia="楷体_GB2312" w:cs="楷体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设备可开放容量</w:t>
      </w:r>
      <w:r>
        <w:rPr>
          <w:rFonts w:hint="eastAsia" w:ascii="楷体_GB2312" w:hAnsi="楷体_GB2312" w:eastAsia="楷体_GB2312" w:cs="楷体_GB2312"/>
          <w:sz w:val="32"/>
          <w:szCs w:val="32"/>
          <w:highlight w:val="none"/>
          <w:lang w:val="en-US" w:eastAsia="zh-CN"/>
        </w:rPr>
        <w:t>＜30千瓦</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截至2024年12月底，邵阳市公用电网设备可开放容量为黄色的台区共1634个。</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绿色区域设备（设备可开放容量</w:t>
      </w:r>
      <w:r>
        <w:rPr>
          <w:rFonts w:hint="eastAsia" w:ascii="楷体_GB2312" w:hAnsi="楷体_GB2312" w:eastAsia="楷体_GB2312" w:cs="楷体_GB2312"/>
          <w:sz w:val="32"/>
          <w:szCs w:val="32"/>
          <w:highlight w:val="none"/>
          <w:lang w:val="en-US" w:eastAsia="zh-CN"/>
        </w:rPr>
        <w:t>≥30千瓦</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截至2024年12月底，邵阳市公用电网设备可开放容量为绿色的台区共12101个。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1.各县市区发改部门、电网企业应根据分布式光伏可开放容量结果引导分布式光伏合理布局、有序开发。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2.可开放容量为红色区域的区县，各县市区发改部门原则上应暂停受理分布式光伏项目备案申请；可开放容量为黄色区域的区县，应优先支持户用自然人、党政机关等公共事业单位及工商业分布式光伏并网。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光伏开发企业应严格落实《关于支持分布式光伏发展规范相关管理事项的通知》（湘发改能源〔2023〕858号）相关要求，在取得发改部门备案手续和电网企业出具的接入系统方案后方可开工建设，严禁“未批先建”。对违规建设的光伏电站应依法拆除，电网企业一律不允许并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F80C3"/>
    <w:multiLevelType w:val="singleLevel"/>
    <w:tmpl w:val="8A1F80C3"/>
    <w:lvl w:ilvl="0" w:tentative="0">
      <w:start w:val="3"/>
      <w:numFmt w:val="chineseCounting"/>
      <w:suff w:val="nothing"/>
      <w:lvlText w:val="（%1）"/>
      <w:lvlJc w:val="left"/>
      <w:rPr>
        <w:rFonts w:hint="eastAsia"/>
      </w:rPr>
    </w:lvl>
  </w:abstractNum>
  <w:abstractNum w:abstractNumId="1">
    <w:nsid w:val="A86847B6"/>
    <w:multiLevelType w:val="singleLevel"/>
    <w:tmpl w:val="A86847B6"/>
    <w:lvl w:ilvl="0" w:tentative="0">
      <w:start w:val="1"/>
      <w:numFmt w:val="chineseCounting"/>
      <w:suff w:val="nothing"/>
      <w:lvlText w:val="（%1）"/>
      <w:lvlJc w:val="left"/>
      <w:rPr>
        <w:rFonts w:hint="eastAsia"/>
      </w:rPr>
    </w:lvl>
  </w:abstractNum>
  <w:abstractNum w:abstractNumId="2">
    <w:nsid w:val="5BC902BD"/>
    <w:multiLevelType w:val="singleLevel"/>
    <w:tmpl w:val="5BC902B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jY0Nzg5YmYzZmU5Y2FhYTNjODViNDY5YzkyYjQifQ=="/>
  </w:docVars>
  <w:rsids>
    <w:rsidRoot w:val="4C0C1A87"/>
    <w:rsid w:val="17170D2F"/>
    <w:rsid w:val="1D76192F"/>
    <w:rsid w:val="43496E92"/>
    <w:rsid w:val="4B62624D"/>
    <w:rsid w:val="4C0C1A87"/>
    <w:rsid w:val="5DD96ACE"/>
    <w:rsid w:val="668133C6"/>
    <w:rsid w:val="6F713098"/>
    <w:rsid w:val="783D49BF"/>
    <w:rsid w:val="7A1C7E00"/>
    <w:rsid w:val="7BE23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1181</Characters>
  <Lines>0</Lines>
  <Paragraphs>0</Paragraphs>
  <TotalTime>3</TotalTime>
  <ScaleCrop>false</ScaleCrop>
  <LinksUpToDate>false</LinksUpToDate>
  <CharactersWithSpaces>1181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2024-09-26T04:51:00Z</dcterms:created>
  <dc:creator>Rain</dc:creator>
  <cp:lastModifiedBy>陶俊娜</cp:lastModifiedBy>
  <dcterms:modified xsi:type="dcterms:W3CDTF">2025-01-05T10:28:47Z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A6CB089F3BED4D8686371341376BE060</vt:lpwstr>
  </property>
</Properties>
</file>