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F" w:rsidRDefault="00210355">
      <w:pPr>
        <w:tabs>
          <w:tab w:val="left" w:pos="1006"/>
        </w:tabs>
        <w:spacing w:line="36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FF7D0F" w:rsidRDefault="00210355">
      <w:pPr>
        <w:tabs>
          <w:tab w:val="left" w:pos="1006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2020-2021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年普惠养老城企联动中央预算内投资计划调整安排方案表</w:t>
      </w:r>
    </w:p>
    <w:p w:rsidR="00FF7D0F" w:rsidRDefault="00210355">
      <w:pPr>
        <w:tabs>
          <w:tab w:val="left" w:pos="1006"/>
        </w:tabs>
        <w:spacing w:line="360" w:lineRule="exact"/>
        <w:jc w:val="right"/>
        <w:rPr>
          <w:rFonts w:ascii="宋体" w:eastAsia="仿宋_GB2312" w:hAnsi="宋体" w:cs="仿宋_GB2312"/>
          <w:sz w:val="24"/>
        </w:rPr>
      </w:pPr>
      <w:r>
        <w:rPr>
          <w:rFonts w:ascii="宋体" w:eastAsia="仿宋_GB2312" w:hAnsi="宋体" w:cs="仿宋_GB2312" w:hint="eastAsia"/>
          <w:sz w:val="24"/>
        </w:rPr>
        <w:t>单位：万元</w:t>
      </w:r>
    </w:p>
    <w:tbl>
      <w:tblPr>
        <w:tblStyle w:val="a5"/>
        <w:tblW w:w="4998" w:type="pct"/>
        <w:jc w:val="center"/>
        <w:tblLook w:val="04A0"/>
      </w:tblPr>
      <w:tblGrid>
        <w:gridCol w:w="790"/>
        <w:gridCol w:w="984"/>
        <w:gridCol w:w="1440"/>
        <w:gridCol w:w="899"/>
        <w:gridCol w:w="1761"/>
        <w:gridCol w:w="841"/>
        <w:gridCol w:w="752"/>
        <w:gridCol w:w="755"/>
        <w:gridCol w:w="733"/>
        <w:gridCol w:w="994"/>
        <w:gridCol w:w="994"/>
        <w:gridCol w:w="994"/>
        <w:gridCol w:w="994"/>
        <w:gridCol w:w="1105"/>
        <w:gridCol w:w="1378"/>
        <w:gridCol w:w="500"/>
      </w:tblGrid>
      <w:tr w:rsidR="00FF7D0F">
        <w:trPr>
          <w:jc w:val="center"/>
        </w:trPr>
        <w:tc>
          <w:tcPr>
            <w:tcW w:w="248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09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市州</w:t>
            </w:r>
          </w:p>
        </w:tc>
        <w:tc>
          <w:tcPr>
            <w:tcW w:w="451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28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建设性质</w:t>
            </w:r>
          </w:p>
        </w:tc>
        <w:tc>
          <w:tcPr>
            <w:tcW w:w="55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建设规模</w:t>
            </w:r>
          </w:p>
        </w:tc>
        <w:tc>
          <w:tcPr>
            <w:tcW w:w="264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开工年份</w:t>
            </w:r>
          </w:p>
        </w:tc>
        <w:tc>
          <w:tcPr>
            <w:tcW w:w="236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建成年份</w:t>
            </w: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投资类别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总投资及申报投资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已下达投资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累计完成投资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本次下达投资计划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年度建设内容</w:t>
            </w:r>
          </w:p>
        </w:tc>
        <w:tc>
          <w:tcPr>
            <w:tcW w:w="34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项目（法人）单位及项目责任人</w:t>
            </w:r>
          </w:p>
        </w:tc>
        <w:tc>
          <w:tcPr>
            <w:tcW w:w="43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11"/>
                <w:sz w:val="24"/>
              </w:rPr>
              <w:t>日常监管直接责任单位及监管责任人</w:t>
            </w:r>
          </w:p>
        </w:tc>
        <w:tc>
          <w:tcPr>
            <w:tcW w:w="15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FF7D0F">
        <w:trPr>
          <w:jc w:val="center"/>
        </w:trPr>
        <w:tc>
          <w:tcPr>
            <w:tcW w:w="248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个）</w:t>
            </w:r>
          </w:p>
        </w:tc>
        <w:tc>
          <w:tcPr>
            <w:tcW w:w="282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8300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4400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1132</w:t>
            </w:r>
          </w:p>
        </w:tc>
        <w:tc>
          <w:tcPr>
            <w:tcW w:w="312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中央预算内投资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1132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1132</w:t>
            </w: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地方投资</w:t>
            </w:r>
          </w:p>
        </w:tc>
        <w:tc>
          <w:tcPr>
            <w:tcW w:w="230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7168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9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</w:t>
            </w:r>
          </w:p>
        </w:tc>
        <w:tc>
          <w:tcPr>
            <w:tcW w:w="451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邵阳市馨美养老院</w:t>
            </w:r>
          </w:p>
        </w:tc>
        <w:tc>
          <w:tcPr>
            <w:tcW w:w="28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新建</w:t>
            </w:r>
          </w:p>
        </w:tc>
        <w:tc>
          <w:tcPr>
            <w:tcW w:w="552" w:type="pct"/>
            <w:vMerge w:val="restart"/>
            <w:vAlign w:val="center"/>
          </w:tcPr>
          <w:p w:rsidR="00FF7D0F" w:rsidRDefault="00210355" w:rsidP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总建筑面积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18131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平方米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，新增养老床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443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张。</w:t>
            </w:r>
          </w:p>
        </w:tc>
        <w:tc>
          <w:tcPr>
            <w:tcW w:w="264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</w:p>
        </w:tc>
        <w:tc>
          <w:tcPr>
            <w:tcW w:w="236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2024</w:t>
            </w: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2400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886</w:t>
            </w:r>
          </w:p>
        </w:tc>
        <w:tc>
          <w:tcPr>
            <w:tcW w:w="31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土建及设备购置</w:t>
            </w:r>
          </w:p>
        </w:tc>
        <w:tc>
          <w:tcPr>
            <w:tcW w:w="347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邵阳市馨美养老院李雪峰</w:t>
            </w:r>
          </w:p>
        </w:tc>
        <w:tc>
          <w:tcPr>
            <w:tcW w:w="43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北塔区发展和改革局廖勇</w:t>
            </w:r>
          </w:p>
        </w:tc>
        <w:tc>
          <w:tcPr>
            <w:tcW w:w="157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中央预算内投资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886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886</w:t>
            </w: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地方投资</w:t>
            </w:r>
          </w:p>
        </w:tc>
        <w:tc>
          <w:tcPr>
            <w:tcW w:w="230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4114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09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邵阳市</w:t>
            </w:r>
          </w:p>
        </w:tc>
        <w:tc>
          <w:tcPr>
            <w:tcW w:w="451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隆回县佳源老年公寓建设项目</w:t>
            </w:r>
          </w:p>
        </w:tc>
        <w:tc>
          <w:tcPr>
            <w:tcW w:w="28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改扩建</w:t>
            </w:r>
          </w:p>
        </w:tc>
        <w:tc>
          <w:tcPr>
            <w:tcW w:w="55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总建筑面积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平方米，新增床位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264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</w:p>
        </w:tc>
        <w:tc>
          <w:tcPr>
            <w:tcW w:w="236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2024</w:t>
            </w: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246</w:t>
            </w:r>
          </w:p>
        </w:tc>
        <w:tc>
          <w:tcPr>
            <w:tcW w:w="31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土建及设备购置</w:t>
            </w:r>
          </w:p>
        </w:tc>
        <w:tc>
          <w:tcPr>
            <w:tcW w:w="347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隆回佳源老年公寓有限公司刘文明</w:t>
            </w:r>
          </w:p>
        </w:tc>
        <w:tc>
          <w:tcPr>
            <w:tcW w:w="432" w:type="pct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隆回县民政局张诚</w:t>
            </w:r>
          </w:p>
        </w:tc>
        <w:tc>
          <w:tcPr>
            <w:tcW w:w="157" w:type="pct"/>
            <w:vMerge w:val="restar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中央预算内投资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246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246</w:t>
            </w: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地方投资</w:t>
            </w:r>
          </w:p>
        </w:tc>
        <w:tc>
          <w:tcPr>
            <w:tcW w:w="230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D0F">
        <w:trPr>
          <w:jc w:val="center"/>
        </w:trPr>
        <w:tc>
          <w:tcPr>
            <w:tcW w:w="248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其他投资</w:t>
            </w:r>
          </w:p>
        </w:tc>
        <w:tc>
          <w:tcPr>
            <w:tcW w:w="230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3054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Align w:val="center"/>
          </w:tcPr>
          <w:p w:rsidR="00FF7D0F" w:rsidRDefault="00210355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</w:p>
        </w:tc>
        <w:tc>
          <w:tcPr>
            <w:tcW w:w="312" w:type="pct"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" w:type="pct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F7D0F" w:rsidRDefault="00FF7D0F">
      <w:pPr>
        <w:tabs>
          <w:tab w:val="left" w:pos="1006"/>
        </w:tabs>
        <w:jc w:val="left"/>
        <w:rPr>
          <w:rFonts w:ascii="宋体" w:eastAsia="仿宋_GB2312" w:hAnsi="宋体" w:cs="仿宋_GB2312"/>
          <w:sz w:val="32"/>
          <w:szCs w:val="32"/>
        </w:rPr>
        <w:sectPr w:rsidR="00FF7D0F">
          <w:pgSz w:w="16838" w:h="11906" w:orient="landscape"/>
          <w:pgMar w:top="850" w:right="567" w:bottom="850" w:left="567" w:header="851" w:footer="1474" w:gutter="0"/>
          <w:cols w:space="0"/>
          <w:docGrid w:type="lines" w:linePitch="318"/>
        </w:sectPr>
      </w:pPr>
    </w:p>
    <w:p w:rsidR="00FF7D0F" w:rsidRDefault="00210355">
      <w:pPr>
        <w:tabs>
          <w:tab w:val="left" w:pos="1006"/>
        </w:tabs>
        <w:spacing w:line="36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FF7D0F" w:rsidRDefault="00210355">
      <w:pPr>
        <w:tabs>
          <w:tab w:val="left" w:pos="1006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积极应对人口老龄化工程中央预算内投资计划绩效目标表</w:t>
      </w:r>
    </w:p>
    <w:p w:rsidR="00FF7D0F" w:rsidRDefault="00210355">
      <w:pPr>
        <w:tabs>
          <w:tab w:val="left" w:pos="1006"/>
        </w:tabs>
        <w:spacing w:line="3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</w:t>
      </w:r>
      <w:r>
        <w:rPr>
          <w:rFonts w:ascii="楷体_GB2312" w:eastAsia="楷体_GB2312" w:hAnsi="楷体_GB2312" w:cs="楷体_GB2312" w:hint="eastAsia"/>
          <w:sz w:val="30"/>
          <w:szCs w:val="30"/>
        </w:rPr>
        <w:t>2024</w:t>
      </w:r>
      <w:r>
        <w:rPr>
          <w:rFonts w:ascii="楷体_GB2312" w:eastAsia="楷体_GB2312" w:hAnsi="楷体_GB2312" w:cs="楷体_GB2312" w:hint="eastAsia"/>
          <w:sz w:val="30"/>
          <w:szCs w:val="30"/>
        </w:rPr>
        <w:t>年度）</w:t>
      </w:r>
    </w:p>
    <w:tbl>
      <w:tblPr>
        <w:tblStyle w:val="a5"/>
        <w:tblW w:w="0" w:type="auto"/>
        <w:jc w:val="center"/>
        <w:tblLook w:val="04A0"/>
      </w:tblPr>
      <w:tblGrid>
        <w:gridCol w:w="536"/>
        <w:gridCol w:w="2336"/>
        <w:gridCol w:w="1633"/>
        <w:gridCol w:w="638"/>
        <w:gridCol w:w="1929"/>
        <w:gridCol w:w="1932"/>
      </w:tblGrid>
      <w:tr w:rsidR="00FF7D0F">
        <w:trPr>
          <w:trHeight w:val="510"/>
          <w:jc w:val="center"/>
        </w:trPr>
        <w:tc>
          <w:tcPr>
            <w:tcW w:w="4505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专项名称</w:t>
            </w:r>
          </w:p>
        </w:tc>
        <w:tc>
          <w:tcPr>
            <w:tcW w:w="4499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积极应对人口老龄化工程</w:t>
            </w:r>
          </w:p>
        </w:tc>
      </w:tr>
      <w:tr w:rsidR="00FF7D0F">
        <w:trPr>
          <w:trHeight w:val="510"/>
          <w:jc w:val="center"/>
        </w:trPr>
        <w:tc>
          <w:tcPr>
            <w:tcW w:w="4505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下达地方或单位</w:t>
            </w:r>
          </w:p>
        </w:tc>
        <w:tc>
          <w:tcPr>
            <w:tcW w:w="4499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邵阳市发展和改革委员会</w:t>
            </w:r>
          </w:p>
        </w:tc>
      </w:tr>
      <w:tr w:rsidR="00FF7D0F">
        <w:trPr>
          <w:trHeight w:val="510"/>
          <w:jc w:val="center"/>
        </w:trPr>
        <w:tc>
          <w:tcPr>
            <w:tcW w:w="4505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本次下达中央预算内投资（万元〉</w:t>
            </w:r>
          </w:p>
        </w:tc>
        <w:tc>
          <w:tcPr>
            <w:tcW w:w="4499" w:type="dxa"/>
            <w:gridSpan w:val="3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1132</w:t>
            </w:r>
          </w:p>
        </w:tc>
      </w:tr>
      <w:tr w:rsidR="00FF7D0F">
        <w:trPr>
          <w:trHeight w:val="1559"/>
          <w:jc w:val="center"/>
        </w:trPr>
        <w:tc>
          <w:tcPr>
            <w:tcW w:w="536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总体目标</w:t>
            </w:r>
          </w:p>
        </w:tc>
        <w:tc>
          <w:tcPr>
            <w:tcW w:w="8468" w:type="dxa"/>
            <w:gridSpan w:val="5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进一步改善养老服务基础设施条件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，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推动设施规范化、标准化建设，增强兜底保障能力，提升服务水平。</w:t>
            </w:r>
          </w:p>
        </w:tc>
      </w:tr>
      <w:tr w:rsidR="00FF7D0F">
        <w:trPr>
          <w:jc w:val="center"/>
        </w:trPr>
        <w:tc>
          <w:tcPr>
            <w:tcW w:w="536" w:type="dxa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增效指标</w:t>
            </w:r>
          </w:p>
        </w:tc>
        <w:tc>
          <w:tcPr>
            <w:tcW w:w="2336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一级指标</w:t>
            </w:r>
          </w:p>
        </w:tc>
        <w:tc>
          <w:tcPr>
            <w:tcW w:w="2271" w:type="dxa"/>
            <w:gridSpan w:val="2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二级指标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三级指标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指标值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实施效果指标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产出指标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项目数量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2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建设项目验收通过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95%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新建设施达到当地抗震设防要求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 xml:space="preserve">100% 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效益指标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养老托育服务基础设施条件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不断改善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过程管理指标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计划管理指标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投资计划转发用时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10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个工作日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两个责任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按项目落实到位率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95%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资金管理指标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中央预算内投资支付率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60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总投资完成率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50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 w:val="restart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项目管理指标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项目开工率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9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0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超规模、超标准、超概算项目比例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≤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10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%</w:t>
            </w:r>
          </w:p>
        </w:tc>
      </w:tr>
      <w:tr w:rsidR="00FF7D0F">
        <w:trPr>
          <w:jc w:val="center"/>
        </w:trPr>
        <w:tc>
          <w:tcPr>
            <w:tcW w:w="5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F7D0F" w:rsidRDefault="00FF7D0F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监督检查指标</w:t>
            </w:r>
          </w:p>
        </w:tc>
        <w:tc>
          <w:tcPr>
            <w:tcW w:w="1929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审计、督查、巡视等指出问题项目比例</w:t>
            </w:r>
          </w:p>
        </w:tc>
        <w:tc>
          <w:tcPr>
            <w:tcW w:w="1932" w:type="dxa"/>
            <w:vAlign w:val="center"/>
          </w:tcPr>
          <w:p w:rsidR="00FF7D0F" w:rsidRDefault="00210355">
            <w:pPr>
              <w:tabs>
                <w:tab w:val="left" w:pos="1006"/>
              </w:tabs>
              <w:spacing w:line="40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≤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1</w:t>
            </w:r>
            <w:r>
              <w:rPr>
                <w:rFonts w:ascii="宋体" w:eastAsia="仿宋_GB2312" w:hAnsi="宋体" w:cs="仿宋_GB2312"/>
                <w:sz w:val="28"/>
                <w:szCs w:val="28"/>
              </w:rPr>
              <w:t>%</w:t>
            </w:r>
          </w:p>
        </w:tc>
      </w:tr>
    </w:tbl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rFonts w:ascii="宋体" w:eastAsia="仿宋_GB2312" w:hAnsi="宋体" w:cs="仿宋_GB2312"/>
          <w:sz w:val="32"/>
          <w:szCs w:val="32"/>
        </w:rPr>
      </w:pPr>
    </w:p>
    <w:p w:rsidR="00FF7D0F" w:rsidRDefault="00FF7D0F">
      <w:pPr>
        <w:tabs>
          <w:tab w:val="left" w:pos="1006"/>
        </w:tabs>
        <w:spacing w:line="400" w:lineRule="exact"/>
        <w:jc w:val="left"/>
        <w:rPr>
          <w:sz w:val="32"/>
        </w:rPr>
      </w:pPr>
    </w:p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/>
    <w:p w:rsidR="00FF7D0F" w:rsidRDefault="00FF7D0F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F7D0F">
        <w:rPr>
          <w:sz w:val="32"/>
        </w:rPr>
        <w:pict>
          <v:line id="_x0000_s1026" style="position:absolute;z-index:251660288" from="-10.55pt,2.55pt" to="460.9pt,2.55pt" o:gfxdata="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B3W9NQAAAAHAQAADwAAAAAA&#10;AAABACAAAAA4AAAAZHJzL2Rvd25yZXYueG1sUEsBAhQAFAAAAAgAh07iQGmTh0/IAQAAYwMAAA4A&#10;AAAAAAAAAQAgAAAAOQEAAGRycy9lMm9Eb2MueG1sUEsFBgAAAAAGAAYAWQEAAHMFAAAAAA==&#10;" strokecolor="black [3213]" strokeweight=".5pt">
            <v:stroke joinstyle="miter"/>
          </v:line>
        </w:pict>
      </w:r>
      <w:r w:rsidRPr="00FF7D0F">
        <w:rPr>
          <w:sz w:val="32"/>
        </w:rPr>
        <w:pict>
          <v:line id="_x0000_s1028" style="position:absolute;z-index:251659264" from="-9.65pt,31.4pt" to="461.8pt,31.4pt" o:gfxdata="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Vn0g&#10;k9cAAAAJAQAADwAAAAAAAAABACAAAAA4AAAAZHJzL2Rvd25yZXYueG1sUEsBAhQAFAAAAAgAh07i&#10;QOeqjkzUAQAAbgMAAA4AAAAAAAAAAQAgAAAAPAEAAGRycy9lMm9Eb2MueG1sUEsFBgAAAAAGAAYA&#10;WQEAAIIFAAAAAA==&#10;" strokecolor="black [3213]" strokeweight=".5pt">
            <v:stroke joinstyle="miter"/>
          </v:line>
        </w:pict>
      </w:r>
      <w:r w:rsidR="00210355">
        <w:rPr>
          <w:rFonts w:ascii="仿宋_GB2312" w:eastAsia="仿宋_GB2312" w:hAnsi="仿宋_GB2312" w:cs="仿宋_GB2312" w:hint="eastAsia"/>
          <w:sz w:val="28"/>
          <w:szCs w:val="28"/>
        </w:rPr>
        <w:t>抄送：市财政局、市民政局</w:t>
      </w:r>
      <w:bookmarkStart w:id="0" w:name="_GoBack"/>
      <w:bookmarkEnd w:id="0"/>
      <w:r w:rsidR="00210355">
        <w:rPr>
          <w:rFonts w:ascii="仿宋_GB2312" w:eastAsia="仿宋_GB2312" w:hAnsi="仿宋_GB2312" w:cs="仿宋_GB2312" w:hint="eastAsia"/>
          <w:sz w:val="28"/>
          <w:szCs w:val="28"/>
        </w:rPr>
        <w:t>、市卫健委。</w:t>
      </w:r>
    </w:p>
    <w:p w:rsidR="00FF7D0F" w:rsidRDefault="00210355"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471805</wp:posOffset>
            </wp:positionV>
            <wp:extent cx="1663700" cy="499745"/>
            <wp:effectExtent l="0" t="0" r="12700" b="1460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D0F" w:rsidRPr="00FF7D0F">
        <w:rPr>
          <w:rFonts w:ascii="仿宋_GB2312" w:eastAsia="仿宋_GB2312" w:hAnsi="仿宋_GB2312" w:cs="仿宋_GB2312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-9.6pt,31.3pt" to="461.85pt,31.3pt" o:gfxdata="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MQ6Z+tcAAAAJAQAADwAA&#10;AAAAAAABACAAAAA4AAAAZHJzL2Rvd25yZXYueG1sUEsBAhQAFAAAAAgAh07iQBN8mZzIAQAAYwMA&#10;AA4AAAAAAAAAAQAgAAAAPAEAAGRycy9lMm9Eb2MueG1sUEsFBgAAAAAGAAYAWQEAAHYFAAAAAA==&#10;" strokecolor="black [3213]" strokeweight=".5pt">
            <v:stroke joinstyle="miter"/>
          </v:line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邵阳市发展和改革委员会办公室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2024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FF7D0F" w:rsidSect="00FF7D0F">
      <w:pgSz w:w="11906" w:h="16838"/>
      <w:pgMar w:top="1247" w:right="1417" w:bottom="1247" w:left="1701" w:header="851" w:footer="1474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VhZWEyODBhZWQxYzA2N2Q3OGY0MzEzOTdjNzIzNmIifQ=="/>
  </w:docVars>
  <w:rsids>
    <w:rsidRoot w:val="00172A27"/>
    <w:rsid w:val="00172A27"/>
    <w:rsid w:val="00210355"/>
    <w:rsid w:val="00FF7D0F"/>
    <w:rsid w:val="02626CEE"/>
    <w:rsid w:val="056F3724"/>
    <w:rsid w:val="0AC27E84"/>
    <w:rsid w:val="17F230D8"/>
    <w:rsid w:val="226E3F7C"/>
    <w:rsid w:val="2DBA73B6"/>
    <w:rsid w:val="32A84D69"/>
    <w:rsid w:val="347B4A7C"/>
    <w:rsid w:val="3BAE60AA"/>
    <w:rsid w:val="45582166"/>
    <w:rsid w:val="456275B9"/>
    <w:rsid w:val="48F54240"/>
    <w:rsid w:val="66B43E21"/>
    <w:rsid w:val="6C4C227F"/>
    <w:rsid w:val="757545F4"/>
    <w:rsid w:val="76A15FCB"/>
    <w:rsid w:val="7F9FA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7D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7D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F7D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丰铁林</cp:lastModifiedBy>
  <cp:revision>2</cp:revision>
  <cp:lastPrinted>2024-03-18T02:09:00Z</cp:lastPrinted>
  <dcterms:created xsi:type="dcterms:W3CDTF">2024-02-17T10:28:00Z</dcterms:created>
  <dcterms:modified xsi:type="dcterms:W3CDTF">2024-03-18T02:09:00Z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0F265EE19ABD4833A1A0C6AA099EAABB_13</vt:lpwstr>
  </property>
</Properties>
</file>