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Times New Roman" w:hAnsi="Times New Roman" w:eastAsia="华文中宋" w:cs="宋体"/>
                <w:color w:val="000000"/>
                <w:kern w:val="0"/>
                <w:sz w:val="32"/>
                <w:szCs w:val="32"/>
              </w:rPr>
            </w:pPr>
            <w:r>
              <w:rPr>
                <w:rFonts w:hint="eastAsia" w:ascii="Times New Roman" w:hAnsi="Times New Roman"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部门：</w:t>
            </w:r>
            <w:r>
              <w:rPr>
                <w:rFonts w:ascii="Times New Roman" w:hAnsi="Times New Roman" w:eastAsia="宋体" w:cs="宋体"/>
                <w:color w:val="000000"/>
                <w:kern w:val="0"/>
                <w:sz w:val="20"/>
                <w:szCs w:val="20"/>
              </w:rPr>
              <w:t xml:space="preserve"> </w:t>
            </w:r>
            <w:r>
              <w:rPr>
                <w:rFonts w:hint="eastAsia" w:ascii="Times New Roman" w:hAnsi="Times New Roman" w:eastAsia="宋体" w:cs="宋体"/>
                <w:color w:val="000000"/>
                <w:kern w:val="0"/>
                <w:sz w:val="20"/>
                <w:szCs w:val="20"/>
              </w:rPr>
              <w:t>邵阳市发展和改革委员会</w:t>
            </w:r>
          </w:p>
        </w:tc>
        <w:tc>
          <w:tcPr>
            <w:tcW w:w="697" w:type="dxa"/>
            <w:gridSpan w:val="2"/>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3640.57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2496.44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七、社会和保障就业支出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485.45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八、卫生健康支出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129.42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0"/>
                <w:szCs w:val="20"/>
              </w:rPr>
            </w:pPr>
            <w:r>
              <w:rPr>
                <w:rFonts w:hint="eastAsia" w:ascii="Times New Roman" w:hAnsi="Times New Roman" w:eastAsia="宋体" w:cs="宋体"/>
                <w:kern w:val="0"/>
                <w:sz w:val="22"/>
              </w:rPr>
              <w:t>九、农林水支出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79.26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tabs>
                <w:tab w:val="left" w:pos="729"/>
              </w:tabs>
              <w:jc w:val="left"/>
              <w:rPr>
                <w:rFonts w:ascii="Times New Roman" w:hAnsi="Times New Roman" w:eastAsia="宋体" w:cs="宋体"/>
                <w:b/>
                <w:bCs/>
                <w:kern w:val="0"/>
                <w:sz w:val="22"/>
              </w:rPr>
            </w:pPr>
            <w:r>
              <w:rPr>
                <w:rFonts w:hint="eastAsia" w:ascii="Times New Roman" w:hAnsi="Times New Roman" w:eastAsia="宋体" w:cs="宋体"/>
                <w:kern w:val="0"/>
                <w:sz w:val="22"/>
              </w:rPr>
              <w:t>十、交通运输支出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28.65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十一、住房保障支出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125.9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十二、粮油物资储备支出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kern w:val="0"/>
                <w:sz w:val="22"/>
              </w:rPr>
            </w:pPr>
            <w:r>
              <w:rPr>
                <w:rFonts w:hint="eastAsia" w:ascii="Times New Roman" w:hAnsi="Times New Roman"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3640.57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kern w:val="0"/>
                <w:sz w:val="22"/>
              </w:rPr>
            </w:pPr>
            <w:r>
              <w:rPr>
                <w:rFonts w:hint="eastAsia" w:ascii="Times New Roman" w:hAnsi="Times New Roman"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3353.32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207.21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494.46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b/>
                <w:bCs/>
                <w:kern w:val="0"/>
                <w:sz w:val="22"/>
              </w:rPr>
            </w:pPr>
            <w:r>
              <w:rPr>
                <w:rFonts w:hint="eastAsia" w:ascii="Times New Roman" w:hAnsi="Times New Roman"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3847.78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b/>
                <w:bCs/>
                <w:kern w:val="0"/>
                <w:sz w:val="22"/>
              </w:rPr>
            </w:pPr>
            <w:r>
              <w:rPr>
                <w:rFonts w:hint="eastAsia" w:ascii="Times New Roman" w:hAnsi="Times New Roman"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3847.78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注：1.本表反映部门本年度的总收支和年末结转结余情况。</w:t>
            </w:r>
          </w:p>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xml:space="preserve"> 2.本套报表金额单位转换时可能存在尾数误差。</w:t>
            </w:r>
          </w:p>
        </w:tc>
      </w:tr>
    </w:tbl>
    <w:p>
      <w:pPr>
        <w:jc w:val="center"/>
        <w:rPr>
          <w:rFonts w:ascii="Times New Roman" w:hAnsi="Times New Roman"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4"/>
        <w:tblW w:w="15132" w:type="dxa"/>
        <w:tblInd w:w="0" w:type="dxa"/>
        <w:tblLayout w:type="fixed"/>
        <w:tblCellMar>
          <w:top w:w="0" w:type="dxa"/>
          <w:left w:w="0" w:type="dxa"/>
          <w:bottom w:w="0" w:type="dxa"/>
          <w:right w:w="0" w:type="dxa"/>
        </w:tblCellMar>
      </w:tblPr>
      <w:tblGrid>
        <w:gridCol w:w="50"/>
        <w:gridCol w:w="974"/>
        <w:gridCol w:w="4408"/>
        <w:gridCol w:w="2340"/>
        <w:gridCol w:w="2113"/>
        <w:gridCol w:w="2314"/>
        <w:gridCol w:w="506"/>
        <w:gridCol w:w="506"/>
        <w:gridCol w:w="506"/>
        <w:gridCol w:w="1415"/>
      </w:tblGrid>
      <w:tr>
        <w:tblPrEx>
          <w:tblCellMar>
            <w:top w:w="0" w:type="dxa"/>
            <w:left w:w="0" w:type="dxa"/>
            <w:bottom w:w="0" w:type="dxa"/>
            <w:right w:w="0" w:type="dxa"/>
          </w:tblCellMar>
        </w:tblPrEx>
        <w:trPr>
          <w:trHeight w:val="435" w:hRule="atLeast"/>
        </w:trPr>
        <w:tc>
          <w:tcPr>
            <w:tcW w:w="1513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Times New Roman" w:hAnsi="Times New Roman" w:eastAsia="华文中宋" w:cs="宋体"/>
                <w:color w:val="000000"/>
                <w:sz w:val="32"/>
                <w:szCs w:val="32"/>
              </w:rPr>
            </w:pPr>
            <w:r>
              <w:rPr>
                <w:rFonts w:hint="eastAsia" w:ascii="Times New Roman" w:hAnsi="Times New Roman"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9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441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23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21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23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5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5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5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color w:val="000000"/>
                <w:sz w:val="20"/>
                <w:szCs w:val="20"/>
              </w:rPr>
            </w:pPr>
            <w:r>
              <w:rPr>
                <w:rFonts w:hint="eastAsia" w:ascii="Times New Roman" w:hAnsi="Times New Roman"/>
                <w:color w:val="000000"/>
                <w:sz w:val="20"/>
                <w:szCs w:val="20"/>
              </w:rPr>
              <w:t>公开02表</w:t>
            </w:r>
          </w:p>
        </w:tc>
      </w:tr>
      <w:tr>
        <w:tblPrEx>
          <w:tblCellMar>
            <w:top w:w="0" w:type="dxa"/>
            <w:left w:w="0" w:type="dxa"/>
            <w:bottom w:w="0" w:type="dxa"/>
            <w:right w:w="0" w:type="dxa"/>
          </w:tblCellMar>
        </w:tblPrEx>
        <w:trPr>
          <w:trHeight w:val="285" w:hRule="atLeast"/>
        </w:trPr>
        <w:tc>
          <w:tcPr>
            <w:tcW w:w="101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Times New Roman" w:hAnsi="Times New Roman" w:eastAsia="宋体" w:cs="宋体"/>
                <w:color w:val="000000"/>
                <w:sz w:val="20"/>
                <w:szCs w:val="20"/>
              </w:rPr>
            </w:pPr>
            <w:r>
              <w:rPr>
                <w:rFonts w:hint="eastAsia" w:ascii="Times New Roman" w:hAnsi="Times New Roman"/>
                <w:color w:val="000000"/>
                <w:sz w:val="20"/>
                <w:szCs w:val="20"/>
              </w:rPr>
              <w:t>部门：</w:t>
            </w:r>
          </w:p>
        </w:tc>
        <w:tc>
          <w:tcPr>
            <w:tcW w:w="4412"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Times New Roman" w:hAnsi="Times New Roman" w:eastAsia="宋体" w:cs="宋体"/>
                <w:sz w:val="24"/>
                <w:szCs w:val="24"/>
              </w:rPr>
            </w:pPr>
            <w:r>
              <w:rPr>
                <w:rFonts w:hint="eastAsia" w:ascii="Times New Roman" w:hAnsi="Times New Roman" w:eastAsia="宋体" w:cs="宋体"/>
                <w:color w:val="000000"/>
                <w:kern w:val="0"/>
                <w:sz w:val="20"/>
                <w:szCs w:val="20"/>
              </w:rPr>
              <w:t>邵阳市发展和改革委员会</w:t>
            </w:r>
            <w:r>
              <w:rPr>
                <w:rFonts w:hint="eastAsia" w:ascii="Times New Roman" w:hAnsi="Times New Roman"/>
              </w:rPr>
              <w:t>　</w:t>
            </w:r>
          </w:p>
        </w:tc>
        <w:tc>
          <w:tcPr>
            <w:tcW w:w="23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21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231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color w:val="000000"/>
                <w:sz w:val="20"/>
                <w:szCs w:val="20"/>
              </w:rPr>
            </w:pPr>
            <w:r>
              <w:rPr>
                <w:rFonts w:hint="eastAsia" w:ascii="Times New Roman" w:hAnsi="Times New Roman"/>
                <w:color w:val="000000"/>
                <w:sz w:val="20"/>
                <w:szCs w:val="20"/>
              </w:rPr>
              <w:t>　</w:t>
            </w:r>
          </w:p>
        </w:tc>
        <w:tc>
          <w:tcPr>
            <w:tcW w:w="5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5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5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Times New Roman" w:hAnsi="Times New Roman" w:eastAsia="宋体" w:cs="宋体"/>
                <w:color w:val="000000"/>
                <w:sz w:val="20"/>
                <w:szCs w:val="20"/>
              </w:rPr>
            </w:pPr>
            <w:r>
              <w:rPr>
                <w:rFonts w:hint="eastAsia" w:ascii="Times New Roman" w:hAnsi="Times New Roman"/>
                <w:color w:val="000000"/>
                <w:sz w:val="20"/>
                <w:szCs w:val="20"/>
              </w:rPr>
              <w:t>单位：万元</w:t>
            </w:r>
          </w:p>
        </w:tc>
      </w:tr>
      <w:tr>
        <w:tblPrEx>
          <w:tblCellMar>
            <w:top w:w="0" w:type="dxa"/>
            <w:left w:w="0" w:type="dxa"/>
            <w:bottom w:w="0" w:type="dxa"/>
            <w:right w:w="0" w:type="dxa"/>
          </w:tblCellMar>
        </w:tblPrEx>
        <w:trPr>
          <w:trHeight w:val="450" w:hRule="atLeast"/>
        </w:trPr>
        <w:tc>
          <w:tcPr>
            <w:tcW w:w="542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项    目</w:t>
            </w:r>
          </w:p>
        </w:tc>
        <w:tc>
          <w:tcPr>
            <w:tcW w:w="23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本年收入合计</w:t>
            </w:r>
          </w:p>
        </w:tc>
        <w:tc>
          <w:tcPr>
            <w:tcW w:w="21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财政拨款收入</w:t>
            </w:r>
          </w:p>
        </w:tc>
        <w:tc>
          <w:tcPr>
            <w:tcW w:w="23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上级补助收入</w:t>
            </w:r>
          </w:p>
        </w:tc>
        <w:tc>
          <w:tcPr>
            <w:tcW w:w="5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事业收入</w:t>
            </w:r>
          </w:p>
        </w:tc>
        <w:tc>
          <w:tcPr>
            <w:tcW w:w="5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经营收入</w:t>
            </w:r>
          </w:p>
        </w:tc>
        <w:tc>
          <w:tcPr>
            <w:tcW w:w="5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附属单位上缴收入</w:t>
            </w:r>
          </w:p>
        </w:tc>
        <w:tc>
          <w:tcPr>
            <w:tcW w:w="14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其他收入</w:t>
            </w:r>
          </w:p>
        </w:tc>
      </w:tr>
      <w:tr>
        <w:tblPrEx>
          <w:tblCellMar>
            <w:top w:w="0" w:type="dxa"/>
            <w:left w:w="0" w:type="dxa"/>
            <w:bottom w:w="0" w:type="dxa"/>
            <w:right w:w="0" w:type="dxa"/>
          </w:tblCellMar>
        </w:tblPrEx>
        <w:trPr>
          <w:trHeight w:val="450" w:hRule="atLeast"/>
        </w:trPr>
        <w:tc>
          <w:tcPr>
            <w:tcW w:w="101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功能分类科目编码</w:t>
            </w:r>
          </w:p>
        </w:tc>
        <w:tc>
          <w:tcPr>
            <w:tcW w:w="441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科目名称</w:t>
            </w:r>
          </w:p>
        </w:tc>
        <w:tc>
          <w:tcPr>
            <w:tcW w:w="234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r>
      <w:tr>
        <w:tblPrEx>
          <w:tblCellMar>
            <w:top w:w="0" w:type="dxa"/>
            <w:left w:w="0" w:type="dxa"/>
            <w:bottom w:w="0" w:type="dxa"/>
            <w:right w:w="0" w:type="dxa"/>
          </w:tblCellMar>
        </w:tblPrEx>
        <w:trPr>
          <w:trHeight w:val="450" w:hRule="atLeast"/>
        </w:trPr>
        <w:tc>
          <w:tcPr>
            <w:tcW w:w="101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4412"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2342"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211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231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50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宋体"/>
                <w:sz w:val="24"/>
                <w:szCs w:val="24"/>
              </w:rPr>
            </w:pPr>
          </w:p>
        </w:tc>
      </w:tr>
      <w:tr>
        <w:tblPrEx>
          <w:tblCellMar>
            <w:top w:w="0" w:type="dxa"/>
            <w:left w:w="0" w:type="dxa"/>
            <w:bottom w:w="0" w:type="dxa"/>
            <w:right w:w="0" w:type="dxa"/>
          </w:tblCellMar>
        </w:tblPrEx>
        <w:trPr>
          <w:trHeight w:val="450" w:hRule="atLeast"/>
        </w:trPr>
        <w:tc>
          <w:tcPr>
            <w:tcW w:w="542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栏次</w:t>
            </w:r>
          </w:p>
        </w:tc>
        <w:tc>
          <w:tcPr>
            <w:tcW w:w="23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1</w:t>
            </w:r>
          </w:p>
        </w:tc>
        <w:tc>
          <w:tcPr>
            <w:tcW w:w="21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2</w:t>
            </w:r>
          </w:p>
        </w:tc>
        <w:tc>
          <w:tcPr>
            <w:tcW w:w="23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3</w:t>
            </w:r>
          </w:p>
        </w:tc>
        <w:tc>
          <w:tcPr>
            <w:tcW w:w="5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4</w:t>
            </w:r>
          </w:p>
        </w:tc>
        <w:tc>
          <w:tcPr>
            <w:tcW w:w="5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5</w:t>
            </w:r>
          </w:p>
        </w:tc>
        <w:tc>
          <w:tcPr>
            <w:tcW w:w="5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6</w:t>
            </w:r>
          </w:p>
        </w:tc>
        <w:tc>
          <w:tcPr>
            <w:tcW w:w="1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7</w:t>
            </w:r>
          </w:p>
        </w:tc>
      </w:tr>
      <w:tr>
        <w:tblPrEx>
          <w:tblCellMar>
            <w:top w:w="0" w:type="dxa"/>
            <w:left w:w="0" w:type="dxa"/>
            <w:bottom w:w="0" w:type="dxa"/>
            <w:right w:w="0" w:type="dxa"/>
          </w:tblCellMar>
        </w:tblPrEx>
        <w:trPr>
          <w:trHeight w:val="450" w:hRule="atLeast"/>
        </w:trPr>
        <w:tc>
          <w:tcPr>
            <w:tcW w:w="542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宋体" w:cs="宋体"/>
                <w:sz w:val="24"/>
                <w:szCs w:val="24"/>
              </w:rPr>
            </w:pPr>
            <w:r>
              <w:rPr>
                <w:rFonts w:hint="eastAsia" w:ascii="Times New Roman" w:hAnsi="Times New Roman"/>
              </w:rPr>
              <w:t>合计</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3640.57　</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3640.57　</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宋体" w:cs="宋体"/>
                <w:sz w:val="24"/>
                <w:szCs w:val="24"/>
              </w:rPr>
            </w:pPr>
            <w:r>
              <w:rPr>
                <w:rFonts w:hint="eastAsia" w:ascii="Times New Roman" w:hAnsi="Times New Roman"/>
              </w:rPr>
              <w:t>　</w:t>
            </w: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一般公共服务支出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2898.55</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2898.55</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发展与改革事务</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2427.75</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2427.75</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2010401</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行政运行</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1490.46</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1490.46</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2010402</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一般行政管理事务</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180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180</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2010404</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战略规划与实施</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250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250</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2010408</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物价管理</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4</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2010450</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事业运行</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1.59</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1.59</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2010499</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其他发展与改革事务支出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501.7</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501.7</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20199</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其他一般公共服务支出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470.8</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470.8</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2019999</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其他一般公共服务支出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470.8</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470.8</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社会保障和就业支出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368.05</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368.05</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20805</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行政事业单位养老支出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261.03</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261.03</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2080501</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行政单位离退休</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140.71</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140.71</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2080505</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机关事业单位基本养老保险缴费支出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120.32</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120.32</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20808</w:t>
            </w:r>
          </w:p>
        </w:tc>
        <w:tc>
          <w:tcPr>
            <w:tcW w:w="44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抚恤</w:t>
            </w:r>
          </w:p>
        </w:tc>
        <w:tc>
          <w:tcPr>
            <w:tcW w:w="23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91.25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91.25</w:t>
            </w:r>
          </w:p>
        </w:tc>
        <w:tc>
          <w:tcPr>
            <w:tcW w:w="2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2080801</w:t>
            </w:r>
          </w:p>
        </w:tc>
        <w:tc>
          <w:tcPr>
            <w:tcW w:w="441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死亡抚恤</w:t>
            </w:r>
          </w:p>
        </w:tc>
        <w:tc>
          <w:tcPr>
            <w:tcW w:w="23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81.89</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81.89</w:t>
            </w:r>
          </w:p>
        </w:tc>
        <w:tc>
          <w:tcPr>
            <w:tcW w:w="23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2080899</w:t>
            </w:r>
          </w:p>
        </w:tc>
        <w:tc>
          <w:tcPr>
            <w:tcW w:w="4412"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其他优抚支出</w:t>
            </w:r>
          </w:p>
        </w:tc>
        <w:tc>
          <w:tcPr>
            <w:tcW w:w="234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9.36</w:t>
            </w:r>
          </w:p>
        </w:tc>
        <w:tc>
          <w:tcPr>
            <w:tcW w:w="21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9.36</w:t>
            </w:r>
          </w:p>
        </w:tc>
        <w:tc>
          <w:tcPr>
            <w:tcW w:w="231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20827</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财政对其他社会保险基金的补助</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15.77</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15.77</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2082702</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财政对工伤保险基金的补助</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10.53</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10.53</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2082703</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财政对生育保险基金的补助</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5.24</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5.24</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卫生健康支出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129.42</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21011</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行政事业单位医疗</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129.42</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2101101</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行政单位医疗</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84.65</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84.65</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2101103</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公务员医疗补助</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44.77</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44.77</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213</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农林水支出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80</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21305</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扶贫</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80</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2130599</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其他扶贫支出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80</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214</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交通运输支出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28.65</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21401</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公路水路运输</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28.65</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2140199</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其他公路水路运输支出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28.65</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221</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住房保障支出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125.9</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22102</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住房改革支出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125.9</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2210201</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住房公积金</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125.9</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222</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粮油物资储备支出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10</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22201</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粮油事务</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10</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450" w:hRule="atLeast"/>
        </w:trPr>
        <w:tc>
          <w:tcPr>
            <w:tcW w:w="101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2220199</w:t>
            </w:r>
          </w:p>
        </w:tc>
        <w:tc>
          <w:tcPr>
            <w:tcW w:w="441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其他粮油事务支出</w:t>
            </w:r>
          </w:p>
        </w:tc>
        <w:tc>
          <w:tcPr>
            <w:tcW w:w="23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w:t>
            </w:r>
          </w:p>
        </w:tc>
        <w:tc>
          <w:tcPr>
            <w:tcW w:w="21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right"/>
              <w:textAlignment w:val="bottom"/>
              <w:rPr>
                <w:rFonts w:ascii="Times New Roman" w:hAnsi="Times New Roman" w:eastAsia="宋体" w:cs="宋体"/>
                <w:color w:val="000000"/>
                <w:sz w:val="22"/>
              </w:rPr>
            </w:pPr>
            <w:r>
              <w:rPr>
                <w:rFonts w:ascii="Times New Roman" w:hAnsi="Times New Roman" w:eastAsia="宋体" w:cs="Arial"/>
                <w:color w:val="000000"/>
                <w:kern w:val="0"/>
                <w:sz w:val="20"/>
                <w:szCs w:val="20"/>
                <w:lang w:bidi="ar"/>
              </w:rPr>
              <w:t>10</w:t>
            </w:r>
          </w:p>
        </w:tc>
        <w:tc>
          <w:tcPr>
            <w:tcW w:w="23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5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rPr>
            </w:pPr>
          </w:p>
        </w:tc>
      </w:tr>
      <w:tr>
        <w:tblPrEx>
          <w:tblCellMar>
            <w:top w:w="0" w:type="dxa"/>
            <w:left w:w="0" w:type="dxa"/>
            <w:bottom w:w="0" w:type="dxa"/>
            <w:right w:w="0" w:type="dxa"/>
          </w:tblCellMar>
        </w:tblPrEx>
        <w:trPr>
          <w:trHeight w:val="615" w:hRule="atLeast"/>
        </w:trPr>
        <w:tc>
          <w:tcPr>
            <w:tcW w:w="1513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Times New Roman" w:hAnsi="Times New Roman" w:eastAsia="宋体" w:cs="宋体"/>
                <w:sz w:val="24"/>
                <w:szCs w:val="24"/>
              </w:rPr>
            </w:pPr>
            <w:r>
              <w:rPr>
                <w:rFonts w:hint="eastAsia" w:ascii="Times New Roman" w:hAnsi="Times New Roman"/>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4"/>
        <w:tblW w:w="13965" w:type="dxa"/>
        <w:tblInd w:w="630" w:type="dxa"/>
        <w:tblLayout w:type="fixed"/>
        <w:tblCellMar>
          <w:top w:w="0" w:type="dxa"/>
          <w:left w:w="108" w:type="dxa"/>
          <w:bottom w:w="0" w:type="dxa"/>
          <w:right w:w="108" w:type="dxa"/>
        </w:tblCellMar>
      </w:tblPr>
      <w:tblGrid>
        <w:gridCol w:w="735"/>
        <w:gridCol w:w="360"/>
        <w:gridCol w:w="2865"/>
        <w:gridCol w:w="1080"/>
        <w:gridCol w:w="1320"/>
        <w:gridCol w:w="1275"/>
        <w:gridCol w:w="1024"/>
        <w:gridCol w:w="2111"/>
        <w:gridCol w:w="3195"/>
      </w:tblGrid>
      <w:tr>
        <w:tblPrEx>
          <w:tblCellMar>
            <w:top w:w="0" w:type="dxa"/>
            <w:left w:w="108" w:type="dxa"/>
            <w:bottom w:w="0" w:type="dxa"/>
            <w:right w:w="108" w:type="dxa"/>
          </w:tblCellMar>
        </w:tblPrEx>
        <w:trPr>
          <w:trHeight w:val="435" w:hRule="atLeast"/>
        </w:trPr>
        <w:tc>
          <w:tcPr>
            <w:tcW w:w="13965" w:type="dxa"/>
            <w:gridSpan w:val="9"/>
            <w:tcBorders>
              <w:top w:val="nil"/>
              <w:left w:val="nil"/>
              <w:bottom w:val="nil"/>
              <w:right w:val="nil"/>
            </w:tcBorders>
            <w:shd w:val="clear" w:color="auto" w:fill="auto"/>
            <w:noWrap/>
            <w:vAlign w:val="center"/>
          </w:tcPr>
          <w:p>
            <w:pPr>
              <w:widowControl/>
              <w:jc w:val="center"/>
              <w:rPr>
                <w:rFonts w:ascii="Times New Roman" w:hAnsi="Times New Roman" w:eastAsia="华文中宋" w:cs="宋体"/>
                <w:color w:val="000000"/>
                <w:kern w:val="0"/>
                <w:sz w:val="32"/>
                <w:szCs w:val="32"/>
              </w:rPr>
            </w:pPr>
            <w:r>
              <w:rPr>
                <w:rFonts w:hint="eastAsia" w:ascii="Times New Roman" w:hAnsi="Times New Roman"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735"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60"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865"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080"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320"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024"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111"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195"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735" w:type="dxa"/>
            <w:tcBorders>
              <w:top w:val="nil"/>
              <w:left w:val="nil"/>
              <w:bottom w:val="nil"/>
              <w:right w:val="nil"/>
            </w:tcBorders>
            <w:shd w:val="clear" w:color="000000" w:fill="FFFFFF"/>
            <w:noWrap/>
            <w:vAlign w:val="center"/>
          </w:tcPr>
          <w:p>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部门：</w:t>
            </w:r>
          </w:p>
        </w:tc>
        <w:tc>
          <w:tcPr>
            <w:tcW w:w="360"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865" w:type="dxa"/>
            <w:tcBorders>
              <w:top w:val="nil"/>
              <w:left w:val="nil"/>
              <w:bottom w:val="nil"/>
              <w:right w:val="nil"/>
            </w:tcBorders>
            <w:shd w:val="clear" w:color="000000" w:fill="FFFFFF"/>
            <w:noWrap/>
            <w:vAlign w:val="center"/>
          </w:tcPr>
          <w:p>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邵阳市发展和改革委员会　</w:t>
            </w:r>
          </w:p>
        </w:tc>
        <w:tc>
          <w:tcPr>
            <w:tcW w:w="1080" w:type="dxa"/>
            <w:tcBorders>
              <w:top w:val="nil"/>
              <w:left w:val="nil"/>
              <w:bottom w:val="nil"/>
              <w:right w:val="nil"/>
            </w:tcBorders>
            <w:shd w:val="clear" w:color="000000" w:fill="FFFFFF"/>
            <w:noWrap/>
            <w:vAlign w:val="center"/>
          </w:tcPr>
          <w:p>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　</w:t>
            </w:r>
          </w:p>
        </w:tc>
        <w:tc>
          <w:tcPr>
            <w:tcW w:w="1320"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　</w:t>
            </w:r>
          </w:p>
        </w:tc>
        <w:tc>
          <w:tcPr>
            <w:tcW w:w="1024"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111"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195"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9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项    目</w:t>
            </w:r>
          </w:p>
        </w:tc>
        <w:tc>
          <w:tcPr>
            <w:tcW w:w="10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本年支出合计</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基本支出</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项目支出</w:t>
            </w:r>
          </w:p>
        </w:tc>
        <w:tc>
          <w:tcPr>
            <w:tcW w:w="102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上缴上级支出</w:t>
            </w:r>
          </w:p>
        </w:tc>
        <w:tc>
          <w:tcPr>
            <w:tcW w:w="21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经营支出</w:t>
            </w:r>
          </w:p>
        </w:tc>
        <w:tc>
          <w:tcPr>
            <w:tcW w:w="31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09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功能分类科目编码</w:t>
            </w:r>
          </w:p>
        </w:tc>
        <w:tc>
          <w:tcPr>
            <w:tcW w:w="286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21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3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28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21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3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39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栏次</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3</w:t>
            </w:r>
          </w:p>
        </w:tc>
        <w:tc>
          <w:tcPr>
            <w:tcW w:w="1024"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4</w:t>
            </w:r>
          </w:p>
        </w:tc>
        <w:tc>
          <w:tcPr>
            <w:tcW w:w="211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5</w:t>
            </w:r>
          </w:p>
        </w:tc>
        <w:tc>
          <w:tcPr>
            <w:tcW w:w="319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6</w:t>
            </w:r>
          </w:p>
        </w:tc>
      </w:tr>
      <w:tr>
        <w:tblPrEx>
          <w:tblCellMar>
            <w:top w:w="0" w:type="dxa"/>
            <w:left w:w="108" w:type="dxa"/>
            <w:bottom w:w="0" w:type="dxa"/>
            <w:right w:w="108" w:type="dxa"/>
          </w:tblCellMar>
        </w:tblPrEx>
        <w:trPr>
          <w:trHeight w:val="450" w:hRule="atLeast"/>
        </w:trPr>
        <w:tc>
          <w:tcPr>
            <w:tcW w:w="39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3353.32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2246.89　</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1106.43　</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一般公共服务支出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2496.44</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1477.47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1018.97</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发展与改革事务</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2115.16</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1477.47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637.69</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2010401</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行政运行</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1537.78</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1475.87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61.91</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2010402</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一般行政管理事务</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41.05</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41.05</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2010404</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战略规划与实施</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145.1</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145.1</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2010408</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物价管理</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1.63</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1.63</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2010450</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事业运行</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1.59</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1.59</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2010499</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其他发展与改革事务支出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388</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388</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20199</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其他一般公共服务支出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381.28</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381.28</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2019999</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其他一般公共服务支出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381.28</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381.28</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社会保障和就业支出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485.45</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485.45</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20805</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行政事业单位养老支出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378.43</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378.43</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2080501</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行政单位离退休</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259.47</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259.47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2080505</w:t>
            </w:r>
          </w:p>
        </w:tc>
        <w:tc>
          <w:tcPr>
            <w:tcW w:w="28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机关事业单位基本养老保险缴费支出</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118.96</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118.96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20808</w:t>
            </w:r>
          </w:p>
        </w:tc>
        <w:tc>
          <w:tcPr>
            <w:tcW w:w="28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抚恤</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91.25</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91.25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2080801</w:t>
            </w:r>
          </w:p>
        </w:tc>
        <w:tc>
          <w:tcPr>
            <w:tcW w:w="28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死亡抚恤</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81.89</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81.89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2080899</w:t>
            </w:r>
          </w:p>
        </w:tc>
        <w:tc>
          <w:tcPr>
            <w:tcW w:w="286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其他优抚支出</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9.36</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9.36</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20827</w:t>
            </w:r>
          </w:p>
        </w:tc>
        <w:tc>
          <w:tcPr>
            <w:tcW w:w="2865"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财政对其他社会保险基金的补助</w:t>
            </w:r>
          </w:p>
        </w:tc>
        <w:tc>
          <w:tcPr>
            <w:tcW w:w="1080" w:type="dxa"/>
            <w:tcBorders>
              <w:top w:val="single" w:color="auto" w:sz="4" w:space="0"/>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15.77</w:t>
            </w:r>
          </w:p>
        </w:tc>
        <w:tc>
          <w:tcPr>
            <w:tcW w:w="1320" w:type="dxa"/>
            <w:tcBorders>
              <w:top w:val="single" w:color="auto" w:sz="4" w:space="0"/>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15.77</w:t>
            </w:r>
          </w:p>
        </w:tc>
        <w:tc>
          <w:tcPr>
            <w:tcW w:w="1275" w:type="dxa"/>
            <w:tcBorders>
              <w:top w:val="single" w:color="auto" w:sz="4" w:space="0"/>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2082702</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财政对工伤保险基金的补助</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10.53</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10.53</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2082703</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财政对生育保险基金的补助</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5.24</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5.24</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卫生健康支出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21011</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行政事业单位医疗</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2101101</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行政单位医疗</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84.65</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84.65</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2101103</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公务员医疗补助</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44.77</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44.77</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213</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农林水支出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21305</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扶贫</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2130599</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其他扶贫支出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214</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交通运输支出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21401</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公路水路运输</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2140199</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其他公路水路运输支出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221</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住房保障支出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22102</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住房改革支出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2210201</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住房公积金</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222</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粮油物资储备支出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22201</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粮油事务</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50" w:hRule="atLeast"/>
        </w:trPr>
        <w:tc>
          <w:tcPr>
            <w:tcW w:w="1095"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2220199</w:t>
            </w:r>
          </w:p>
        </w:tc>
        <w:tc>
          <w:tcPr>
            <w:tcW w:w="2865" w:type="dxa"/>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其他粮油事务支出</w:t>
            </w:r>
          </w:p>
        </w:tc>
        <w:tc>
          <w:tcPr>
            <w:tcW w:w="108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c>
          <w:tcPr>
            <w:tcW w:w="1320"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1275"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211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c>
          <w:tcPr>
            <w:tcW w:w="31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630" w:hRule="atLeast"/>
        </w:trPr>
        <w:tc>
          <w:tcPr>
            <w:tcW w:w="13965" w:type="dxa"/>
            <w:gridSpan w:val="9"/>
            <w:tcBorders>
              <w:top w:val="nil"/>
              <w:left w:val="nil"/>
              <w:bottom w:val="nil"/>
              <w:right w:val="nil"/>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4"/>
        <w:tblW w:w="15521" w:type="dxa"/>
        <w:tblInd w:w="93" w:type="dxa"/>
        <w:tblLayout w:type="fixed"/>
        <w:tblCellMar>
          <w:top w:w="0" w:type="dxa"/>
          <w:left w:w="108" w:type="dxa"/>
          <w:bottom w:w="0" w:type="dxa"/>
          <w:right w:w="108" w:type="dxa"/>
        </w:tblCellMar>
      </w:tblPr>
      <w:tblGrid>
        <w:gridCol w:w="3595"/>
        <w:gridCol w:w="452"/>
        <w:gridCol w:w="1062"/>
        <w:gridCol w:w="3411"/>
        <w:gridCol w:w="632"/>
        <w:gridCol w:w="240"/>
        <w:gridCol w:w="1768"/>
        <w:gridCol w:w="1394"/>
        <w:gridCol w:w="1394"/>
        <w:gridCol w:w="1573"/>
      </w:tblGrid>
      <w:tr>
        <w:tblPrEx>
          <w:tblCellMar>
            <w:top w:w="0" w:type="dxa"/>
            <w:left w:w="108" w:type="dxa"/>
            <w:bottom w:w="0" w:type="dxa"/>
            <w:right w:w="108" w:type="dxa"/>
          </w:tblCellMar>
        </w:tblPrEx>
        <w:trPr>
          <w:trHeight w:val="309" w:hRule="atLeast"/>
        </w:trPr>
        <w:tc>
          <w:tcPr>
            <w:tcW w:w="15521" w:type="dxa"/>
            <w:gridSpan w:val="10"/>
            <w:tcBorders>
              <w:top w:val="nil"/>
              <w:left w:val="nil"/>
              <w:bottom w:val="nil"/>
              <w:right w:val="nil"/>
            </w:tcBorders>
            <w:shd w:val="clear" w:color="auto" w:fill="auto"/>
            <w:noWrap/>
            <w:vAlign w:val="center"/>
          </w:tcPr>
          <w:p>
            <w:pPr>
              <w:widowControl/>
              <w:jc w:val="center"/>
              <w:rPr>
                <w:rFonts w:ascii="Times New Roman" w:hAnsi="Times New Roman" w:eastAsia="华文中宋" w:cs="宋体"/>
                <w:color w:val="000000"/>
                <w:kern w:val="0"/>
                <w:sz w:val="32"/>
                <w:szCs w:val="32"/>
              </w:rPr>
            </w:pPr>
            <w:bookmarkStart w:id="0" w:name="RANGE!A1:I22"/>
            <w:bookmarkEnd w:id="0"/>
            <w:bookmarkStart w:id="1" w:name="RANGE!A1:F16"/>
          </w:p>
          <w:p>
            <w:pPr>
              <w:widowControl/>
              <w:jc w:val="center"/>
              <w:rPr>
                <w:rFonts w:ascii="Times New Roman" w:hAnsi="Times New Roman" w:eastAsia="华文中宋" w:cs="宋体"/>
                <w:color w:val="000000"/>
                <w:kern w:val="0"/>
                <w:sz w:val="32"/>
                <w:szCs w:val="32"/>
              </w:rPr>
            </w:pPr>
            <w:r>
              <w:rPr>
                <w:rFonts w:hint="eastAsia" w:ascii="Times New Roman" w:hAnsi="Times New Roman"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452"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062"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768"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部门：邵阳市发展和改革委员会</w:t>
            </w:r>
          </w:p>
        </w:tc>
        <w:tc>
          <w:tcPr>
            <w:tcW w:w="452"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062"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768"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项    目</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行次</w:t>
            </w:r>
          </w:p>
        </w:tc>
        <w:tc>
          <w:tcPr>
            <w:tcW w:w="10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项    目</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行次</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栏    次</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06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栏    次</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一、一般公共预算财政拨款</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3640.57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一、一般公共服务支出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15</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2496.44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二、政府性基金预算财政拨款</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二、外交支出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16</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三、国有资本经营预算财政拨款</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3</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三、国防支出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17</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4</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四、公共安全支出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18</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5</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五、教育支出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19</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6</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六、科学技术支出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20</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7</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4"/>
                <w:szCs w:val="24"/>
              </w:rPr>
              <w:t>七、社会和保障就业支出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21</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485.45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8</w:t>
            </w: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0"/>
                <w:szCs w:val="20"/>
              </w:rPr>
            </w:pPr>
            <w:r>
              <w:rPr>
                <w:rFonts w:hint="eastAsia" w:ascii="Times New Roman" w:hAnsi="Times New Roman" w:eastAsia="宋体" w:cs="宋体"/>
                <w:kern w:val="0"/>
                <w:sz w:val="22"/>
              </w:rPr>
              <w:t>八、卫生健康支出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22</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129.42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b/>
                <w:bCs/>
                <w:kern w:val="0"/>
                <w:sz w:val="22"/>
              </w:rPr>
            </w:pPr>
            <w:r>
              <w:rPr>
                <w:rFonts w:hint="eastAsia" w:ascii="Times New Roman" w:hAnsi="Times New Roman" w:eastAsia="宋体" w:cs="宋体"/>
                <w:kern w:val="0"/>
                <w:sz w:val="22"/>
              </w:rPr>
              <w:t>九、农林水支出　</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23</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79.26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tabs>
                <w:tab w:val="left" w:pos="729"/>
              </w:tabs>
              <w:jc w:val="left"/>
              <w:rPr>
                <w:rFonts w:ascii="Times New Roman" w:hAnsi="Times New Roman" w:eastAsia="宋体" w:cs="宋体"/>
                <w:kern w:val="0"/>
                <w:sz w:val="22"/>
              </w:rPr>
            </w:pPr>
            <w:r>
              <w:rPr>
                <w:rFonts w:hint="eastAsia" w:ascii="Times New Roman" w:hAnsi="Times New Roman" w:eastAsia="宋体" w:cs="宋体"/>
                <w:kern w:val="0"/>
                <w:sz w:val="22"/>
              </w:rPr>
              <w:t>十、交通运输支出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24</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28.65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十一、住房保障支出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25</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125.9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kern w:val="0"/>
                <w:sz w:val="22"/>
              </w:rPr>
            </w:pP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b/>
                <w:bCs/>
                <w:kern w:val="0"/>
                <w:sz w:val="22"/>
              </w:rPr>
            </w:pPr>
            <w:r>
              <w:rPr>
                <w:rFonts w:hint="eastAsia" w:ascii="Times New Roman" w:hAnsi="Times New Roman" w:eastAsia="宋体" w:cs="宋体"/>
                <w:kern w:val="0"/>
                <w:sz w:val="22"/>
              </w:rPr>
              <w:t>十二、粮油物资储备支出</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26</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8.2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kern w:val="0"/>
                <w:sz w:val="22"/>
              </w:rPr>
            </w:pPr>
            <w:r>
              <w:rPr>
                <w:rFonts w:hint="eastAsia" w:ascii="Times New Roman" w:hAnsi="Times New Roman" w:eastAsia="宋体" w:cs="宋体"/>
                <w:b/>
                <w:bCs/>
                <w:kern w:val="0"/>
                <w:sz w:val="22"/>
              </w:rPr>
              <w:t>本年收入合计</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9</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3640.57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b/>
                <w:bCs/>
                <w:kern w:val="0"/>
                <w:sz w:val="22"/>
              </w:rPr>
            </w:pPr>
            <w:r>
              <w:rPr>
                <w:rFonts w:hint="eastAsia" w:ascii="Times New Roman" w:hAnsi="Times New Roman" w:eastAsia="宋体" w:cs="宋体"/>
                <w:b/>
                <w:bCs/>
                <w:kern w:val="0"/>
                <w:sz w:val="22"/>
              </w:rPr>
              <w:t>本年支出合计</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27</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3353.32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b/>
                <w:bCs/>
                <w:kern w:val="0"/>
                <w:sz w:val="22"/>
              </w:rPr>
            </w:pPr>
            <w:r>
              <w:rPr>
                <w:rFonts w:hint="eastAsia" w:ascii="Times New Roman" w:hAnsi="Times New Roman"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年初财政拨款结转和结余</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10</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207.21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年末财政拨款结转和结余</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28</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494.46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xml:space="preserve">      一般公共预算财政拨款</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11</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29</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xml:space="preserve">        政府性基金预算财政拨款</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12</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30</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xml:space="preserve">      国有资本经营预算财政拨款</w:t>
            </w:r>
          </w:p>
        </w:tc>
        <w:tc>
          <w:tcPr>
            <w:tcW w:w="45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13</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c>
          <w:tcPr>
            <w:tcW w:w="8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31</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kern w:val="0"/>
                <w:sz w:val="22"/>
              </w:rPr>
            </w:pPr>
            <w:r>
              <w:rPr>
                <w:rFonts w:hint="eastAsia" w:ascii="Times New Roman" w:hAnsi="Times New Roman"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b/>
                <w:bCs/>
                <w:kern w:val="0"/>
                <w:sz w:val="22"/>
              </w:rPr>
            </w:pPr>
            <w:r>
              <w:rPr>
                <w:rFonts w:hint="eastAsia" w:ascii="Times New Roman" w:hAnsi="Times New Roman" w:eastAsia="宋体" w:cs="宋体"/>
                <w:b/>
                <w:bCs/>
                <w:kern w:val="0"/>
                <w:sz w:val="22"/>
              </w:rPr>
              <w:t>总计</w:t>
            </w:r>
          </w:p>
        </w:tc>
        <w:tc>
          <w:tcPr>
            <w:tcW w:w="452"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14</w:t>
            </w:r>
          </w:p>
        </w:tc>
        <w:tc>
          <w:tcPr>
            <w:tcW w:w="106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3847.78　</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b/>
                <w:bCs/>
                <w:kern w:val="0"/>
                <w:sz w:val="22"/>
              </w:rPr>
            </w:pPr>
            <w:r>
              <w:rPr>
                <w:rFonts w:hint="eastAsia" w:ascii="Times New Roman" w:hAnsi="Times New Roman" w:eastAsia="宋体" w:cs="宋体"/>
                <w:b/>
                <w:bCs/>
                <w:kern w:val="0"/>
                <w:sz w:val="22"/>
              </w:rPr>
              <w:t>总计</w:t>
            </w:r>
          </w:p>
        </w:tc>
        <w:tc>
          <w:tcPr>
            <w:tcW w:w="87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32</w:t>
            </w:r>
          </w:p>
        </w:tc>
        <w:tc>
          <w:tcPr>
            <w:tcW w:w="1768"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宋体"/>
                <w:kern w:val="0"/>
                <w:sz w:val="22"/>
              </w:rPr>
            </w:pPr>
            <w:r>
              <w:rPr>
                <w:rFonts w:hint="eastAsia" w:ascii="Times New Roman" w:hAnsi="Times New Roman"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宋体"/>
                <w:kern w:val="0"/>
                <w:sz w:val="22"/>
              </w:rPr>
            </w:pPr>
            <w:r>
              <w:rPr>
                <w:rFonts w:hint="eastAsia" w:ascii="Times New Roman" w:hAnsi="Times New Roman" w:eastAsia="宋体" w:cs="宋体"/>
                <w:kern w:val="0"/>
                <w:sz w:val="22"/>
              </w:rPr>
              <w:t>3847.78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b/>
                <w:bCs/>
                <w:kern w:val="0"/>
                <w:sz w:val="22"/>
              </w:rPr>
            </w:pPr>
            <w:r>
              <w:rPr>
                <w:rFonts w:hint="eastAsia" w:ascii="Times New Roman" w:hAnsi="Times New Roman"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b/>
                <w:bCs/>
                <w:kern w:val="0"/>
                <w:sz w:val="22"/>
              </w:rPr>
            </w:pPr>
            <w:r>
              <w:rPr>
                <w:rFonts w:hint="eastAsia" w:ascii="Times New Roman" w:hAnsi="Times New Roman"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宋体" w:cs="宋体"/>
          <w:color w:val="000000"/>
          <w:kern w:val="0"/>
          <w:sz w:val="20"/>
          <w:szCs w:val="20"/>
        </w:rPr>
        <w:t>邵阳市发展和改革委员会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4"/>
        <w:tblW w:w="14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527"/>
        <w:gridCol w:w="3000"/>
        <w:gridCol w:w="3492"/>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727"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0" w:type="dxa"/>
            <w:vMerge w:val="continue"/>
            <w:vAlign w:val="center"/>
          </w:tcPr>
          <w:p>
            <w:pPr>
              <w:widowControl/>
              <w:jc w:val="left"/>
              <w:rPr>
                <w:rFonts w:ascii="Times New Roman" w:hAnsi="Times New Roman" w:eastAsia="仿宋_GB2312" w:cs="Times New Roman"/>
                <w:kern w:val="0"/>
                <w:szCs w:val="21"/>
              </w:rPr>
            </w:pPr>
          </w:p>
        </w:tc>
        <w:tc>
          <w:tcPr>
            <w:tcW w:w="3527" w:type="dxa"/>
            <w:vMerge w:val="continue"/>
            <w:vAlign w:val="center"/>
          </w:tcPr>
          <w:p>
            <w:pPr>
              <w:widowControl/>
              <w:jc w:val="left"/>
              <w:rPr>
                <w:rFonts w:ascii="Times New Roman" w:hAnsi="Times New Roman" w:eastAsia="仿宋_GB2312" w:cs="Times New Roman"/>
                <w:kern w:val="0"/>
                <w:szCs w:val="21"/>
              </w:rPr>
            </w:pPr>
          </w:p>
        </w:tc>
        <w:tc>
          <w:tcPr>
            <w:tcW w:w="3000" w:type="dxa"/>
            <w:vMerge w:val="continue"/>
            <w:vAlign w:val="center"/>
          </w:tcPr>
          <w:p>
            <w:pPr>
              <w:widowControl/>
              <w:jc w:val="left"/>
              <w:rPr>
                <w:rFonts w:ascii="Times New Roman" w:hAnsi="Times New Roman" w:eastAsia="仿宋_GB2312" w:cs="Times New Roman"/>
                <w:kern w:val="0"/>
                <w:szCs w:val="21"/>
              </w:rPr>
            </w:pPr>
          </w:p>
        </w:tc>
        <w:tc>
          <w:tcPr>
            <w:tcW w:w="3492" w:type="dxa"/>
            <w:vMerge w:val="continue"/>
            <w:vAlign w:val="center"/>
          </w:tcPr>
          <w:p>
            <w:pPr>
              <w:widowControl/>
              <w:jc w:val="left"/>
              <w:rPr>
                <w:rFonts w:ascii="Times New Roman" w:hAnsi="Times New Roman" w:eastAsia="仿宋_GB2312" w:cs="Times New Roman"/>
                <w:kern w:val="0"/>
                <w:szCs w:val="21"/>
              </w:rPr>
            </w:pPr>
          </w:p>
        </w:tc>
        <w:tc>
          <w:tcPr>
            <w:tcW w:w="3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vMerge w:val="continue"/>
            <w:vAlign w:val="center"/>
          </w:tcPr>
          <w:p>
            <w:pPr>
              <w:widowControl/>
              <w:jc w:val="left"/>
              <w:rPr>
                <w:rFonts w:ascii="Times New Roman" w:hAnsi="Times New Roman" w:eastAsia="仿宋_GB2312" w:cs="Times New Roman"/>
                <w:kern w:val="0"/>
                <w:szCs w:val="21"/>
              </w:rPr>
            </w:pPr>
          </w:p>
        </w:tc>
        <w:tc>
          <w:tcPr>
            <w:tcW w:w="3527" w:type="dxa"/>
            <w:vMerge w:val="continue"/>
            <w:vAlign w:val="center"/>
          </w:tcPr>
          <w:p>
            <w:pPr>
              <w:widowControl/>
              <w:jc w:val="left"/>
              <w:rPr>
                <w:rFonts w:ascii="Times New Roman" w:hAnsi="Times New Roman" w:eastAsia="仿宋_GB2312" w:cs="Times New Roman"/>
                <w:kern w:val="0"/>
                <w:szCs w:val="21"/>
              </w:rPr>
            </w:pPr>
          </w:p>
        </w:tc>
        <w:tc>
          <w:tcPr>
            <w:tcW w:w="3000" w:type="dxa"/>
            <w:vMerge w:val="continue"/>
            <w:vAlign w:val="center"/>
          </w:tcPr>
          <w:p>
            <w:pPr>
              <w:widowControl/>
              <w:jc w:val="left"/>
              <w:rPr>
                <w:rFonts w:ascii="Times New Roman" w:hAnsi="Times New Roman" w:eastAsia="仿宋_GB2312" w:cs="Times New Roman"/>
                <w:kern w:val="0"/>
                <w:szCs w:val="21"/>
              </w:rPr>
            </w:pPr>
          </w:p>
        </w:tc>
        <w:tc>
          <w:tcPr>
            <w:tcW w:w="3492" w:type="dxa"/>
            <w:vMerge w:val="continue"/>
            <w:vAlign w:val="center"/>
          </w:tcPr>
          <w:p>
            <w:pPr>
              <w:widowControl/>
              <w:jc w:val="left"/>
              <w:rPr>
                <w:rFonts w:ascii="Times New Roman" w:hAnsi="Times New Roman" w:eastAsia="仿宋_GB2312" w:cs="Times New Roman"/>
                <w:kern w:val="0"/>
                <w:szCs w:val="21"/>
              </w:rPr>
            </w:pPr>
          </w:p>
        </w:tc>
        <w:tc>
          <w:tcPr>
            <w:tcW w:w="3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27"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27"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3353.32</w:t>
            </w:r>
          </w:p>
        </w:tc>
        <w:tc>
          <w:tcPr>
            <w:tcW w:w="349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2246.89</w:t>
            </w:r>
            <w:r>
              <w:rPr>
                <w:rFonts w:ascii="Times New Roman" w:hAnsi="Times New Roman" w:eastAsia="仿宋_GB2312" w:cs="Times New Roman"/>
                <w:kern w:val="0"/>
                <w:szCs w:val="21"/>
              </w:rPr>
              <w:t>　</w:t>
            </w:r>
          </w:p>
        </w:tc>
        <w:tc>
          <w:tcPr>
            <w:tcW w:w="300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1106.43</w:t>
            </w:r>
            <w:r>
              <w:rPr>
                <w:rFonts w:ascii="Times New Roman" w:hAnsi="Times New Roman" w:eastAsia="仿宋_GB2312" w:cs="Times New Roman"/>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一般公共服务支出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2496.44</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1477.47</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1018.97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发展与改革事务</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2115.16</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1477.47</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637.69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行政运行</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1537.78</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1475.87</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2010402</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一般行政管理事务</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41.05</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2010404</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战略规划与实施</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145.1</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2010408</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物价管理</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1.63</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2010450</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事业运行</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1.59</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1.59</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2010499</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其他发展与改革事务支出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388</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20199</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其他一般公共服务支出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381.28</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2019999</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其他一般公共服务支出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381.28</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社会保障和就业支出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485.45</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485.45</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20805</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行政事业单位养老支出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378.43</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378.43</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2080501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行政单位离退休</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259.47</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259.47</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2080505</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机关事业单位基本养老保险缴费支出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118.96</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118.96</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20808</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抚恤</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91.25</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91.25</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2080801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死亡抚恤</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81.89</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81.89</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2080899</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其他优抚支出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9.36</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9.36</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20827</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财政对其他社会保险基金的补助</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15.77</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15.77</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2082702</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财政对工伤保险基金的补助</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10.53</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10.53</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2082703</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财政对生育保险基金的补助</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5.24</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5.24</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卫生健康支出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21011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行政事业单位医疗</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129.42</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2101101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行政单位医疗</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84.65</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84.65</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2101103</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公务员医疗补助</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44.77</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44.77</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213</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农林水支出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21305</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扶贫</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2130599</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其他扶贫支出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79.26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214</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交通运输支出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21401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公路水路运输</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2140199</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其他公路水路运输支出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28.65</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住房保障支出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22102</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住房改革支出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2210201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住房公积金</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125.9</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222</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粮油物资储备支出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22201</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粮油事务</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2220199</w:t>
            </w:r>
          </w:p>
        </w:tc>
        <w:tc>
          <w:tcPr>
            <w:tcW w:w="3527" w:type="dxa"/>
            <w:shd w:val="clear" w:color="auto" w:fill="auto"/>
            <w:vAlign w:val="center"/>
          </w:tcPr>
          <w:p>
            <w:pPr>
              <w:widowControl/>
              <w:jc w:val="left"/>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lang w:bidi="ar"/>
              </w:rPr>
              <w:t xml:space="preserve">  其他粮油事务支出</w:t>
            </w: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c>
          <w:tcPr>
            <w:tcW w:w="3492" w:type="dxa"/>
            <w:shd w:val="clear" w:color="auto" w:fill="auto"/>
            <w:vAlign w:val="bottom"/>
          </w:tcPr>
          <w:p>
            <w:pPr>
              <w:widowControl/>
              <w:jc w:val="right"/>
              <w:textAlignment w:val="bottom"/>
              <w:rPr>
                <w:rFonts w:ascii="Times New Roman" w:hAnsi="Times New Roman" w:cs="Arial"/>
                <w:color w:val="000000"/>
                <w:sz w:val="20"/>
                <w:szCs w:val="20"/>
              </w:rPr>
            </w:pPr>
          </w:p>
        </w:tc>
        <w:tc>
          <w:tcPr>
            <w:tcW w:w="3000" w:type="dxa"/>
            <w:shd w:val="clear" w:color="auto" w:fill="auto"/>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219" w:type="dxa"/>
            <w:gridSpan w:val="5"/>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4"/>
        <w:tblW w:w="15682" w:type="dxa"/>
        <w:tblInd w:w="0" w:type="dxa"/>
        <w:tblLayout w:type="fixed"/>
        <w:tblCellMar>
          <w:top w:w="0" w:type="dxa"/>
          <w:left w:w="108" w:type="dxa"/>
          <w:bottom w:w="0" w:type="dxa"/>
          <w:right w:w="108" w:type="dxa"/>
        </w:tblCellMar>
      </w:tblPr>
      <w:tblGrid>
        <w:gridCol w:w="1299"/>
        <w:gridCol w:w="3257"/>
        <w:gridCol w:w="1129"/>
        <w:gridCol w:w="853"/>
        <w:gridCol w:w="2499"/>
        <w:gridCol w:w="1013"/>
        <w:gridCol w:w="720"/>
        <w:gridCol w:w="3982"/>
        <w:gridCol w:w="930"/>
      </w:tblGrid>
      <w:tr>
        <w:tblPrEx>
          <w:tblCellMar>
            <w:top w:w="0" w:type="dxa"/>
            <w:left w:w="108" w:type="dxa"/>
            <w:bottom w:w="0" w:type="dxa"/>
            <w:right w:w="108" w:type="dxa"/>
          </w:tblCellMar>
        </w:tblPrEx>
        <w:trPr>
          <w:trHeight w:val="113" w:hRule="atLeast"/>
        </w:trPr>
        <w:tc>
          <w:tcPr>
            <w:tcW w:w="15682" w:type="dxa"/>
            <w:gridSpan w:val="9"/>
            <w:tcBorders>
              <w:top w:val="nil"/>
              <w:left w:val="nil"/>
              <w:bottom w:val="nil"/>
              <w:right w:val="nil"/>
            </w:tcBorders>
            <w:shd w:val="clear" w:color="auto" w:fill="auto"/>
            <w:noWrap/>
            <w:vAlign w:val="center"/>
          </w:tcPr>
          <w:p>
            <w:pPr>
              <w:widowControl/>
              <w:jc w:val="center"/>
              <w:rPr>
                <w:rFonts w:ascii="Times New Roman" w:hAnsi="Times New Roman" w:eastAsia="华文中宋" w:cs="宋体"/>
                <w:color w:val="000000"/>
                <w:kern w:val="0"/>
                <w:szCs w:val="32"/>
              </w:rPr>
            </w:pPr>
            <w:bookmarkStart w:id="2" w:name="RANGE!A1:I34"/>
            <w:r>
              <w:rPr>
                <w:rFonts w:hint="eastAsia" w:ascii="Times New Roman" w:hAnsi="Times New Roman"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邵阳市发展和改革委员会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Times New Roman" w:hAnsi="Times New Roman"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 w:val="20"/>
                <w:szCs w:val="20"/>
              </w:rPr>
              <w:t>经济分类科目编码</w:t>
            </w:r>
          </w:p>
        </w:tc>
        <w:tc>
          <w:tcPr>
            <w:tcW w:w="32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科目名称</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决算数</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经济分类科目编码</w:t>
            </w:r>
          </w:p>
        </w:tc>
        <w:tc>
          <w:tcPr>
            <w:tcW w:w="2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科目名称</w:t>
            </w: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决算数</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经济分类科目编码</w:t>
            </w:r>
          </w:p>
        </w:tc>
        <w:tc>
          <w:tcPr>
            <w:tcW w:w="39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科目名称</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工资福利支出</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1446.21</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商品和服务支出</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367.27</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307</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债务利息及费用支出</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30101</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基本工资</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442.83</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30201</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办公费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20.7</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30701</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国内债务付息</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30102</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津贴补贴</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243.83</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30202</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印刷费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0.3</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30702</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国外债务付息</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30103</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奖金</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275.22</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30203</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咨询费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0.4</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资本性支出</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8.78</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30106</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伙食补助费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30204</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手续费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31001</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房屋建筑物购建</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30107</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绩效工资</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27.65</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30205</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水费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0.34</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31002</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办公设备购置</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8.78</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30108</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机关事业单位基本养老保险缴费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118.96</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30206</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电费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10.9</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31003</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专用设备购置</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30109</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职业年金缴费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1.38</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30207</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邮电费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2.82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31005</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基础设施建设</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30110</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职工基本医疗保险缴费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125.91</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30208</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取暖费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31006</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大型修缮</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30111</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公务员医疗补助缴费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44.77</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30209</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物业管理费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29.45</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31007</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信息网络及软件购置更新</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30112</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其他社会保障缴费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29.54</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30211</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差旅费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6.57</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31008</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物资储备</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30113</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住房公积金</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128.99</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30212</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因公出国（境）费用</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31009</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土地补偿</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30114</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医疗费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30213</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维修（护）费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4.35</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31010</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安置补助</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30199</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其他工资福利支出</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7.13</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30214</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租赁费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31011</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地上附着物和青苗补偿</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对个人和家庭的补助</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424.64</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30215</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会议费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31012</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拆迁补偿</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30301</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离休费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35.85</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30216</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培训费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31013</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公务用车购置</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30302</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退休费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284.49</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30217</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公务接待费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1.87</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31019</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其他交通工具购置</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30303</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退职（役）费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30218</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专用材料费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31021</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文物和陈列品购置</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30304</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抚恤金</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81.89</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30224</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被装购置费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31022</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无形资产购置</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30305</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生活补助</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7.05</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30225</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专用燃料费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31099</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其他资本性支出</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30306</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救济费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30226</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劳务费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399</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其他支出</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30307</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医疗费补助</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30227</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委托业务费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3.53</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39906</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赠与</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30308</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助学金</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30228</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工会经费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81.08</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39907</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国家赔偿费用支出</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30309</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奖励金</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10.62</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30229</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福利费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0.59</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39908</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对民间非营利组织和群众性自治组织补贴</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30310</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个人农业生产补贴</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30231</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公务用车运行维护费</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11.62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39999</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其他支出</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30311</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代缴社会保险费</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30239</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其他交通费用</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84.71</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18"/>
              </w:rPr>
            </w:pPr>
            <w:r>
              <w:rPr>
                <w:rFonts w:hint="eastAsia" w:ascii="Times New Roman" w:hAnsi="Times New Roman" w:eastAsia="宋体" w:cs="宋体"/>
                <w:color w:val="000000"/>
                <w:kern w:val="0"/>
                <w:szCs w:val="18"/>
              </w:rPr>
              <w:t>　</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18"/>
              </w:rPr>
            </w:pPr>
            <w:r>
              <w:rPr>
                <w:rFonts w:hint="eastAsia" w:ascii="Times New Roman" w:hAnsi="Times New Roman" w:eastAsia="宋体" w:cs="宋体"/>
                <w:color w:val="000000"/>
                <w:kern w:val="0"/>
                <w:szCs w:val="18"/>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30399</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其他对个人和家庭的补助</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4.74</w:t>
            </w: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30240</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税金及附加费用</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0.06</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18"/>
              </w:rPr>
            </w:pPr>
            <w:r>
              <w:rPr>
                <w:rFonts w:hint="eastAsia" w:ascii="Times New Roman" w:hAnsi="Times New Roman" w:eastAsia="宋体" w:cs="宋体"/>
                <w:color w:val="000000"/>
                <w:kern w:val="0"/>
                <w:szCs w:val="18"/>
              </w:rPr>
              <w:t>　</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18"/>
              </w:rPr>
            </w:pPr>
            <w:r>
              <w:rPr>
                <w:rFonts w:hint="eastAsia" w:ascii="Times New Roman" w:hAnsi="Times New Roman" w:eastAsia="宋体" w:cs="宋体"/>
                <w:color w:val="000000"/>
                <w:kern w:val="0"/>
                <w:szCs w:val="18"/>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w:t>
            </w:r>
          </w:p>
        </w:tc>
        <w:tc>
          <w:tcPr>
            <w:tcW w:w="325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w:t>
            </w:r>
          </w:p>
        </w:tc>
        <w:tc>
          <w:tcPr>
            <w:tcW w:w="1129" w:type="dxa"/>
            <w:tcBorders>
              <w:top w:val="nil"/>
              <w:left w:val="nil"/>
              <w:bottom w:val="single" w:color="auto" w:sz="4" w:space="0"/>
              <w:right w:val="single" w:color="auto" w:sz="4" w:space="0"/>
            </w:tcBorders>
            <w:shd w:val="clear" w:color="auto" w:fill="auto"/>
            <w:noWrap/>
            <w:vAlign w:val="bottom"/>
          </w:tcPr>
          <w:p>
            <w:pPr>
              <w:rPr>
                <w:rFonts w:ascii="Times New Roman" w:hAnsi="Times New Roman" w:eastAsia="宋体" w:cs="宋体"/>
                <w:color w:val="000000"/>
                <w:kern w:val="0"/>
                <w:szCs w:val="20"/>
              </w:rPr>
            </w:pPr>
          </w:p>
        </w:tc>
        <w:tc>
          <w:tcPr>
            <w:tcW w:w="85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30299</w:t>
            </w:r>
          </w:p>
        </w:tc>
        <w:tc>
          <w:tcPr>
            <w:tcW w:w="249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 xml:space="preserve">  其他商品和服务支出出</w:t>
            </w:r>
          </w:p>
        </w:tc>
        <w:tc>
          <w:tcPr>
            <w:tcW w:w="1013"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cs="Arial"/>
                <w:color w:val="000000"/>
                <w:sz w:val="20"/>
                <w:szCs w:val="20"/>
              </w:rPr>
            </w:pPr>
            <w:r>
              <w:rPr>
                <w:rFonts w:ascii="Times New Roman" w:hAnsi="Times New Roman" w:eastAsia="宋体" w:cs="Arial"/>
                <w:color w:val="000000"/>
                <w:kern w:val="0"/>
                <w:sz w:val="20"/>
                <w:szCs w:val="20"/>
                <w:lang w:bidi="ar"/>
              </w:rPr>
              <w:t>103.62</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18"/>
              </w:rPr>
            </w:pPr>
            <w:r>
              <w:rPr>
                <w:rFonts w:hint="eastAsia" w:ascii="Times New Roman" w:hAnsi="Times New Roman" w:eastAsia="宋体" w:cs="宋体"/>
                <w:color w:val="000000"/>
                <w:kern w:val="0"/>
                <w:szCs w:val="18"/>
              </w:rPr>
              <w:t>　</w:t>
            </w:r>
          </w:p>
        </w:tc>
        <w:tc>
          <w:tcPr>
            <w:tcW w:w="398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宋体"/>
                <w:color w:val="000000"/>
                <w:kern w:val="0"/>
                <w:szCs w:val="18"/>
              </w:rPr>
            </w:pPr>
            <w:r>
              <w:rPr>
                <w:rFonts w:hint="eastAsia" w:ascii="Times New Roman" w:hAnsi="Times New Roman" w:eastAsia="宋体" w:cs="宋体"/>
                <w:color w:val="000000"/>
                <w:kern w:val="0"/>
                <w:szCs w:val="18"/>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　</w:t>
            </w:r>
          </w:p>
        </w:tc>
      </w:tr>
      <w:tr>
        <w:tblPrEx>
          <w:tblCellMar>
            <w:top w:w="0" w:type="dxa"/>
            <w:left w:w="108" w:type="dxa"/>
            <w:bottom w:w="0" w:type="dxa"/>
            <w:right w:w="108" w:type="dxa"/>
          </w:tblCellMar>
        </w:tblPrEx>
        <w:trPr>
          <w:trHeight w:val="284" w:hRule="exact"/>
        </w:trPr>
        <w:tc>
          <w:tcPr>
            <w:tcW w:w="45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人员经费合计</w:t>
            </w:r>
          </w:p>
        </w:tc>
        <w:tc>
          <w:tcPr>
            <w:tcW w:w="1129" w:type="dxa"/>
            <w:tcBorders>
              <w:top w:val="nil"/>
              <w:left w:val="nil"/>
              <w:bottom w:val="single" w:color="auto" w:sz="4" w:space="0"/>
              <w:right w:val="single" w:color="auto" w:sz="4" w:space="0"/>
            </w:tcBorders>
            <w:shd w:val="clear" w:color="auto" w:fill="auto"/>
            <w:noWrap/>
            <w:vAlign w:val="bottom"/>
          </w:tcPr>
          <w:p>
            <w:pPr>
              <w:widowControl/>
              <w:jc w:val="right"/>
              <w:textAlignment w:val="bottom"/>
              <w:rPr>
                <w:rFonts w:ascii="Times New Roman" w:hAnsi="Times New Roman" w:eastAsia="宋体" w:cs="宋体"/>
                <w:color w:val="000000"/>
                <w:kern w:val="0"/>
                <w:szCs w:val="20"/>
              </w:rPr>
            </w:pPr>
            <w:r>
              <w:rPr>
                <w:rFonts w:ascii="Times New Roman" w:hAnsi="Times New Roman" w:eastAsia="宋体" w:cs="Arial"/>
                <w:color w:val="000000"/>
                <w:kern w:val="0"/>
                <w:sz w:val="20"/>
                <w:szCs w:val="20"/>
                <w:lang w:bidi="ar"/>
              </w:rPr>
              <w:t>1870.85</w:t>
            </w:r>
          </w:p>
        </w:tc>
        <w:tc>
          <w:tcPr>
            <w:tcW w:w="906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宋体"/>
                <w:color w:val="000000"/>
                <w:kern w:val="0"/>
                <w:szCs w:val="20"/>
              </w:rPr>
            </w:pPr>
            <w:r>
              <w:rPr>
                <w:rFonts w:hint="eastAsia" w:ascii="Times New Roman" w:hAnsi="Times New Roman" w:eastAsia="宋体" w:cs="宋体"/>
                <w:color w:val="000000"/>
                <w:kern w:val="0"/>
                <w:szCs w:val="20"/>
              </w:rPr>
              <w:t>公用经费合计</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textAlignment w:val="bottom"/>
              <w:rPr>
                <w:rFonts w:ascii="Times New Roman" w:hAnsi="Times New Roman" w:eastAsia="宋体" w:cs="Arial"/>
                <w:color w:val="000000"/>
                <w:kern w:val="0"/>
                <w:sz w:val="20"/>
                <w:szCs w:val="20"/>
                <w:lang w:bidi="ar"/>
              </w:rPr>
            </w:pPr>
            <w:r>
              <w:rPr>
                <w:rFonts w:hint="eastAsia" w:ascii="Times New Roman" w:hAnsi="Times New Roman" w:eastAsia="宋体" w:cs="Arial"/>
                <w:color w:val="000000"/>
                <w:kern w:val="0"/>
                <w:sz w:val="20"/>
                <w:szCs w:val="20"/>
                <w:lang w:bidi="ar"/>
              </w:rPr>
              <w:t>376.055</w:t>
            </w:r>
          </w:p>
        </w:tc>
      </w:tr>
      <w:tr>
        <w:tblPrEx>
          <w:tblCellMar>
            <w:top w:w="0" w:type="dxa"/>
            <w:left w:w="108" w:type="dxa"/>
            <w:bottom w:w="0" w:type="dxa"/>
            <w:right w:w="108" w:type="dxa"/>
          </w:tblCellMar>
        </w:tblPrEx>
        <w:trPr>
          <w:trHeight w:val="284" w:hRule="exact"/>
        </w:trPr>
        <w:tc>
          <w:tcPr>
            <w:tcW w:w="15682" w:type="dxa"/>
            <w:gridSpan w:val="9"/>
            <w:tcBorders>
              <w:top w:val="nil"/>
              <w:left w:val="nil"/>
              <w:bottom w:val="nil"/>
              <w:right w:val="nil"/>
            </w:tcBorders>
            <w:shd w:val="clear" w:color="auto" w:fill="auto"/>
            <w:noWrap/>
            <w:vAlign w:val="center"/>
          </w:tcPr>
          <w:p>
            <w:pPr>
              <w:widowControl/>
              <w:jc w:val="left"/>
              <w:rPr>
                <w:rFonts w:ascii="Times New Roman" w:hAnsi="Times New Roman" w:eastAsia="宋体" w:cs="宋体"/>
                <w:color w:val="000000"/>
                <w:kern w:val="0"/>
                <w:szCs w:val="24"/>
              </w:rPr>
            </w:pPr>
            <w:r>
              <w:rPr>
                <w:rFonts w:hint="eastAsia" w:ascii="Times New Roman" w:hAnsi="Times New Roman"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邵阳市发展和改革委员会</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150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42.9</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29.8</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29.8</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13.1</w:t>
            </w:r>
          </w:p>
        </w:tc>
      </w:tr>
    </w:tbl>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Times New Roman" w:hAnsi="Times New Roman" w:eastAsia="宋体" w:cs="宋体"/>
          <w:kern w:val="0"/>
          <w:sz w:val="24"/>
          <w:szCs w:val="24"/>
        </w:rPr>
        <w:br w:type="page"/>
      </w:r>
    </w:p>
    <w:p>
      <w:pPr>
        <w:autoSpaceDE w:val="0"/>
        <w:autoSpaceDN w:val="0"/>
        <w:adjustRightInd w:val="0"/>
        <w:ind w:left="315" w:leftChars="150"/>
        <w:jc w:val="left"/>
        <w:rPr>
          <w:rFonts w:ascii="Times New Roman" w:hAnsi="Times New Roman"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邵阳市发展和改革委员会</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单位：万元</w:t>
      </w:r>
    </w:p>
    <w:tbl>
      <w:tblPr>
        <w:tblStyle w:val="4"/>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注：本表反映部门本年度政府性基金预算财政拨款收入、支出及结转和结余情况</w:t>
      </w:r>
    </w:p>
    <w:p>
      <w:pPr>
        <w:widowControl/>
        <w:ind w:firstLine="560" w:firstLineChars="200"/>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本单位没有政府性基金收入，也没有使用政府性基金安排的支出，故本表无数据。</w:t>
      </w:r>
    </w:p>
    <w:p>
      <w:pPr>
        <w:widowControl/>
        <w:jc w:val="left"/>
        <w:rPr>
          <w:rFonts w:ascii="Times New Roman" w:hAnsi="Times New Roman" w:eastAsia="黑体"/>
          <w:sz w:val="28"/>
          <w:szCs w:val="28"/>
        </w:rPr>
      </w:pPr>
      <w:r>
        <w:rPr>
          <w:rFonts w:ascii="Times New Roman" w:hAnsi="Times New Roman" w:eastAsia="黑体"/>
          <w:sz w:val="28"/>
          <w:szCs w:val="28"/>
        </w:rPr>
        <w:br w:type="page"/>
      </w:r>
    </w:p>
    <w:tbl>
      <w:tblPr>
        <w:tblStyle w:val="4"/>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Times New Roman" w:hAnsi="Times New Roman" w:eastAsia="华文中宋" w:cs="宋体"/>
                <w:kern w:val="0"/>
                <w:sz w:val="32"/>
                <w:szCs w:val="32"/>
              </w:rPr>
            </w:pPr>
            <w:r>
              <w:rPr>
                <w:rFonts w:hint="eastAsia" w:ascii="Times New Roman" w:hAnsi="Times New Roman"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rPr>
                <w:rFonts w:ascii="Times New Roman" w:hAnsi="Times New Roman" w:eastAsia="宋体" w:cs="宋体"/>
                <w:kern w:val="0"/>
                <w:sz w:val="20"/>
                <w:szCs w:val="20"/>
              </w:rPr>
            </w:pPr>
            <w:r>
              <w:rPr>
                <w:rFonts w:hint="eastAsia" w:ascii="Times New Roman" w:hAnsi="Times New Roman" w:eastAsia="仿宋_GB2312" w:cs="Times New Roman"/>
                <w:color w:val="000000"/>
                <w:kern w:val="0"/>
                <w:szCs w:val="21"/>
              </w:rPr>
              <w:t>邵阳市发展和改革委员会</w:t>
            </w:r>
            <w:r>
              <w:rPr>
                <w:rFonts w:ascii="Times New Roman" w:hAnsi="Times New Roman" w:eastAsia="仿宋_GB2312" w:cs="Times New Roman"/>
                <w:color w:val="000000"/>
                <w:kern w:val="0"/>
                <w:szCs w:val="21"/>
              </w:rPr>
              <w:t xml:space="preserve"> </w:t>
            </w:r>
            <w:r>
              <w:rPr>
                <w:rFonts w:hint="eastAsia" w:ascii="Times New Roman" w:hAnsi="Times New Roman"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xml:space="preserve">项 </w:t>
            </w:r>
            <w:r>
              <w:rPr>
                <w:rFonts w:hint="eastAsia" w:ascii="Times New Roman" w:hAnsi="Times New Roman" w:eastAsia="宋体" w:cs="宋体"/>
                <w:color w:val="000000"/>
                <w:kern w:val="0"/>
                <w:sz w:val="22"/>
              </w:rPr>
              <w:t xml:space="preserve">   </w:t>
            </w:r>
            <w:r>
              <w:rPr>
                <w:rFonts w:hint="eastAsia" w:ascii="Times New Roman" w:hAnsi="Times New Roman"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注：本单位本年度无国有资本经营预算财政拨款支出，故本表无数据。</w:t>
            </w:r>
          </w:p>
        </w:tc>
      </w:tr>
    </w:tbl>
    <w:p>
      <w:pPr>
        <w:pStyle w:val="6"/>
        <w:rPr>
          <w:rFonts w:ascii="Times New Roman" w:hAnsi="Times New Roman"/>
          <w:sz w:val="72"/>
          <w:szCs w:val="72"/>
        </w:rPr>
        <w:sectPr>
          <w:pgSz w:w="16838" w:h="11906" w:orient="landscape"/>
          <w:pgMar w:top="720" w:right="720" w:bottom="720" w:left="720" w:header="851" w:footer="992" w:gutter="0"/>
          <w:cols w:space="425" w:num="1"/>
          <w:docGrid w:type="lines" w:linePitch="312" w:charSpace="0"/>
        </w:sectPr>
      </w:pPr>
      <w:bookmarkStart w:id="3" w:name="_GoBack"/>
      <w:bookmarkEnd w:id="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GNmNzRmNmJkN2E1YjA1OTA3ZmNkNjk5MmYxMDEifQ=="/>
  </w:docVars>
  <w:rsids>
    <w:rsidRoot w:val="437A2AFC"/>
    <w:rsid w:val="437A2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2022-08-19T13:36:00Z</dcterms:created>
  <dc:creator>旧时光·不见旧人</dc:creator>
  <cp:lastModifiedBy>旧时光·不见旧人</cp:lastModifiedBy>
  <dcterms:modified xsi:type="dcterms:W3CDTF">2022-08-19T13:40:51Z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3D1DA9F68DD346179753209FE553B494</vt:lpwstr>
  </property>
</Properties>
</file>