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w:t>
      </w:r>
    </w:p>
    <w:p>
      <w:pPr>
        <w:widowControl/>
        <w:shd w:val="clear" w:color="auto" w:fill="FFFFFF"/>
        <w:spacing w:line="720" w:lineRule="auto"/>
        <w:jc w:val="center"/>
        <w:rPr>
          <w:rFonts w:hint="eastAsia" w:ascii="仿宋_GB2312" w:hAnsi="仿宋" w:eastAsia="仿宋_GB2312" w:cs="宋体"/>
          <w:b/>
          <w:color w:val="auto"/>
          <w:kern w:val="0"/>
          <w:sz w:val="52"/>
          <w:szCs w:val="52"/>
        </w:rPr>
      </w:pPr>
    </w:p>
    <w:p>
      <w:pPr>
        <w:widowControl/>
        <w:shd w:val="clear" w:color="auto" w:fill="FFFFFF"/>
        <w:spacing w:line="720" w:lineRule="auto"/>
        <w:jc w:val="center"/>
        <w:rPr>
          <w:rFonts w:ascii="仿宋_GB2312" w:hAnsi="仿宋" w:eastAsia="仿宋_GB2312" w:cs="宋体"/>
          <w:b/>
          <w:color w:val="auto"/>
          <w:kern w:val="0"/>
          <w:sz w:val="52"/>
          <w:szCs w:val="52"/>
        </w:rPr>
      </w:pPr>
      <w:bookmarkStart w:id="0" w:name="_GoBack"/>
      <w:r>
        <w:rPr>
          <w:rFonts w:hint="eastAsia" w:ascii="仿宋_GB2312" w:hAnsi="仿宋" w:eastAsia="仿宋_GB2312" w:cs="宋体"/>
          <w:b/>
          <w:color w:val="auto"/>
          <w:kern w:val="0"/>
          <w:sz w:val="52"/>
          <w:szCs w:val="52"/>
        </w:rPr>
        <w:t>邵阳市建筑施工企业信用等级评定</w:t>
      </w:r>
    </w:p>
    <w:bookmarkEnd w:id="0"/>
    <w:p>
      <w:pPr>
        <w:widowControl/>
        <w:shd w:val="clear" w:color="auto" w:fill="FFFFFF"/>
        <w:spacing w:line="720" w:lineRule="auto"/>
        <w:rPr>
          <w:rFonts w:ascii="仿宋_GB2312" w:hAnsi="仿宋" w:eastAsia="仿宋_GB2312" w:cs="宋体"/>
          <w:color w:val="auto"/>
          <w:kern w:val="0"/>
          <w:sz w:val="72"/>
          <w:szCs w:val="72"/>
        </w:rPr>
      </w:pPr>
    </w:p>
    <w:p>
      <w:pPr>
        <w:widowControl/>
        <w:shd w:val="clear" w:color="auto" w:fill="FFFFFF"/>
        <w:spacing w:line="720" w:lineRule="auto"/>
        <w:ind w:firstLine="1440" w:firstLineChars="200"/>
        <w:rPr>
          <w:rFonts w:ascii="仿宋_GB2312" w:hAnsi="仿宋" w:eastAsia="仿宋_GB2312" w:cs="宋体"/>
          <w:color w:val="auto"/>
          <w:kern w:val="0"/>
          <w:sz w:val="72"/>
          <w:szCs w:val="72"/>
        </w:rPr>
      </w:pPr>
    </w:p>
    <w:p>
      <w:pPr>
        <w:widowControl/>
        <w:shd w:val="clear" w:color="auto" w:fill="FFFFFF"/>
        <w:spacing w:line="720" w:lineRule="auto"/>
        <w:ind w:firstLine="1446" w:firstLineChars="200"/>
        <w:rPr>
          <w:rFonts w:ascii="仿宋_GB2312" w:hAnsi="仿宋" w:eastAsia="仿宋_GB2312" w:cs="宋体"/>
          <w:b/>
          <w:color w:val="auto"/>
          <w:kern w:val="0"/>
          <w:sz w:val="72"/>
          <w:szCs w:val="72"/>
        </w:rPr>
      </w:pPr>
      <w:r>
        <w:rPr>
          <w:rFonts w:hint="eastAsia" w:ascii="仿宋_GB2312" w:hAnsi="仿宋" w:eastAsia="仿宋_GB2312" w:cs="宋体"/>
          <w:b/>
          <w:color w:val="auto"/>
          <w:kern w:val="0"/>
          <w:sz w:val="72"/>
          <w:szCs w:val="72"/>
        </w:rPr>
        <w:t>申请表及评定标准</w:t>
      </w:r>
    </w:p>
    <w:p>
      <w:pPr>
        <w:spacing w:line="720" w:lineRule="auto"/>
        <w:ind w:firstLine="420" w:firstLineChars="200"/>
        <w:rPr>
          <w:rFonts w:ascii="仿宋_GB2312" w:hAnsi="仿宋" w:eastAsia="仿宋_GB2312"/>
          <w:color w:val="auto"/>
          <w:szCs w:val="32"/>
        </w:rPr>
      </w:pPr>
    </w:p>
    <w:p>
      <w:pPr>
        <w:spacing w:line="600" w:lineRule="exact"/>
        <w:rPr>
          <w:rFonts w:ascii="仿宋_GB2312" w:hAnsi="仿宋" w:eastAsia="仿宋_GB2312"/>
          <w:color w:val="auto"/>
          <w:szCs w:val="32"/>
        </w:rPr>
      </w:pPr>
    </w:p>
    <w:p>
      <w:pPr>
        <w:spacing w:line="600" w:lineRule="exact"/>
        <w:rPr>
          <w:rFonts w:ascii="仿宋_GB2312" w:hAnsi="仿宋" w:eastAsia="仿宋_GB2312"/>
          <w:color w:val="auto"/>
          <w:szCs w:val="32"/>
        </w:rPr>
      </w:pPr>
    </w:p>
    <w:p>
      <w:pPr>
        <w:spacing w:line="600" w:lineRule="exact"/>
        <w:ind w:firstLine="420" w:firstLineChars="200"/>
        <w:rPr>
          <w:rFonts w:ascii="仿宋_GB2312" w:hAnsi="仿宋" w:eastAsia="仿宋_GB2312"/>
          <w:color w:val="auto"/>
          <w:szCs w:val="32"/>
        </w:rPr>
      </w:pPr>
    </w:p>
    <w:p>
      <w:pPr>
        <w:spacing w:line="600" w:lineRule="exact"/>
        <w:ind w:left="638" w:leftChars="304"/>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申请单位（章）：</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br w:type="textWrapping"/>
      </w:r>
    </w:p>
    <w:p>
      <w:pPr>
        <w:spacing w:line="600" w:lineRule="exact"/>
        <w:ind w:left="638" w:leftChars="304"/>
        <w:rPr>
          <w:rFonts w:ascii="仿宋_GB2312" w:hAnsi="仿宋" w:eastAsia="仿宋_GB2312"/>
          <w:color w:val="auto"/>
          <w:sz w:val="32"/>
          <w:szCs w:val="32"/>
        </w:rPr>
      </w:pPr>
      <w:r>
        <w:rPr>
          <w:rFonts w:hint="eastAsia" w:ascii="仿宋_GB2312" w:hAnsi="仿宋" w:eastAsia="仿宋_GB2312" w:cs="宋体"/>
          <w:color w:val="auto"/>
          <w:kern w:val="0"/>
          <w:sz w:val="32"/>
          <w:szCs w:val="32"/>
        </w:rPr>
        <w:t>填</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表</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日</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期：</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年</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 xml:space="preserve"> </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月</w:t>
      </w:r>
      <w:r>
        <w:rPr>
          <w:rFonts w:hint="eastAsia" w:ascii="宋体" w:hAnsi="宋体" w:eastAsia="仿宋_GB2312" w:cs="宋体"/>
          <w:color w:val="auto"/>
          <w:kern w:val="0"/>
          <w:sz w:val="32"/>
          <w:szCs w:val="32"/>
        </w:rPr>
        <w:t>    </w:t>
      </w:r>
      <w:r>
        <w:rPr>
          <w:rFonts w:hint="eastAsia" w:ascii="仿宋_GB2312" w:hAnsi="仿宋" w:eastAsia="仿宋_GB2312" w:cs="宋体"/>
          <w:color w:val="auto"/>
          <w:kern w:val="0"/>
          <w:sz w:val="32"/>
          <w:szCs w:val="32"/>
        </w:rPr>
        <w:t>日</w:t>
      </w:r>
      <w:r>
        <w:rPr>
          <w:rFonts w:hint="eastAsia" w:ascii="仿宋_GB2312" w:hAnsi="仿宋" w:eastAsia="仿宋_GB2312" w:cs="宋体"/>
          <w:color w:val="auto"/>
          <w:kern w:val="0"/>
          <w:sz w:val="32"/>
          <w:szCs w:val="32"/>
        </w:rPr>
        <w:br w:type="textWrapping"/>
      </w:r>
    </w:p>
    <w:p>
      <w:pPr>
        <w:widowControl/>
        <w:shd w:val="clear" w:color="auto" w:fill="FFFFFF"/>
        <w:spacing w:line="600" w:lineRule="exact"/>
        <w:rPr>
          <w:rFonts w:ascii="仿宋_GB2312" w:hAnsi="仿宋" w:eastAsia="仿宋_GB2312" w:cs="宋体"/>
          <w:color w:val="auto"/>
          <w:kern w:val="0"/>
          <w:sz w:val="32"/>
          <w:szCs w:val="32"/>
        </w:rPr>
      </w:pPr>
    </w:p>
    <w:p>
      <w:pPr>
        <w:widowControl/>
        <w:shd w:val="clear" w:color="auto" w:fill="FFFFFF"/>
        <w:spacing w:line="600" w:lineRule="exact"/>
        <w:ind w:firstLine="640" w:firstLineChars="200"/>
        <w:jc w:val="center"/>
        <w:rPr>
          <w:rFonts w:ascii="仿宋_GB2312" w:hAnsi="仿宋" w:eastAsia="仿宋_GB2312" w:cs="宋体"/>
          <w:color w:val="auto"/>
          <w:kern w:val="0"/>
          <w:sz w:val="32"/>
          <w:szCs w:val="32"/>
        </w:rPr>
      </w:pPr>
    </w:p>
    <w:p>
      <w:pPr>
        <w:widowControl/>
        <w:shd w:val="clear" w:color="auto" w:fill="FFFFFF"/>
        <w:spacing w:line="600" w:lineRule="exact"/>
        <w:ind w:firstLine="640" w:firstLineChars="200"/>
        <w:jc w:val="center"/>
        <w:rPr>
          <w:rFonts w:hint="eastAsia" w:ascii="仿宋_GB2312" w:hAnsi="仿宋" w:eastAsia="仿宋_GB2312" w:cs="宋体"/>
          <w:color w:val="auto"/>
          <w:kern w:val="0"/>
          <w:sz w:val="32"/>
          <w:szCs w:val="32"/>
        </w:rPr>
      </w:pPr>
    </w:p>
    <w:p>
      <w:pPr>
        <w:widowControl/>
        <w:shd w:val="clear" w:color="auto" w:fill="FFFFFF"/>
        <w:spacing w:line="600" w:lineRule="exact"/>
        <w:ind w:firstLine="640" w:firstLineChars="200"/>
        <w:jc w:val="center"/>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邵阳市住房和城乡建设局制</w:t>
      </w:r>
    </w:p>
    <w:p>
      <w:pPr>
        <w:spacing w:line="600" w:lineRule="exact"/>
        <w:ind w:firstLine="2640" w:firstLineChars="600"/>
        <w:rPr>
          <w:rFonts w:ascii="仿宋_GB2312" w:hAnsi="仿宋" w:eastAsia="仿宋_GB2312"/>
          <w:b/>
          <w:color w:val="auto"/>
          <w:sz w:val="44"/>
          <w:szCs w:val="44"/>
        </w:rPr>
      </w:pPr>
      <w:r>
        <w:rPr>
          <w:rFonts w:hint="eastAsia" w:ascii="仿宋_GB2312" w:hAnsi="仿宋" w:eastAsia="仿宋_GB2312"/>
          <w:color w:val="auto"/>
          <w:sz w:val="44"/>
          <w:szCs w:val="44"/>
        </w:rPr>
        <w:br w:type="page"/>
      </w:r>
      <w:r>
        <w:rPr>
          <w:rFonts w:hint="eastAsia" w:ascii="仿宋_GB2312" w:hAnsi="仿宋" w:eastAsia="仿宋_GB2312"/>
          <w:b/>
          <w:color w:val="auto"/>
          <w:sz w:val="44"/>
          <w:szCs w:val="44"/>
        </w:rPr>
        <w:t>填 表 说 明</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一、本表用于建筑施工企业申请信用等级评定。</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二、本表请使用计算机打印。</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三、填写本表适用的数字均用阿拉伯数字。除注明外，货币种类为人民币，单位为万元。有关数据可保留一位小数。</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四、本表中带□的位置用“√”选择填写。</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五、本表在填写时可加页，一律</w:t>
      </w:r>
      <w:r>
        <w:rPr>
          <w:rFonts w:hint="eastAsia" w:ascii="仿宋_GB2312" w:hAnsi="仿宋" w:eastAsia="仿宋_GB2312"/>
          <w:color w:val="auto"/>
          <w:sz w:val="30"/>
          <w:szCs w:val="30"/>
          <w:lang w:eastAsia="zh-CN"/>
        </w:rPr>
        <w:t>使</w:t>
      </w:r>
      <w:r>
        <w:rPr>
          <w:rFonts w:hint="eastAsia" w:ascii="仿宋_GB2312" w:hAnsi="仿宋" w:eastAsia="仿宋_GB2312"/>
          <w:color w:val="auto"/>
          <w:sz w:val="30"/>
          <w:szCs w:val="30"/>
        </w:rPr>
        <w:t>用A4纸张。</w:t>
      </w:r>
    </w:p>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六、填写完成后，邵阳市区划内行政县市的建筑施工企业应将申报材料装订成册与原件一并报企业所在县市住房和城乡建设行政主管部门, 县市建设企业的申报材料由所在县市住房和城乡建设部门审核后密封送市评价办；市本级及外地入邵企业的申报材料密封后送市评价办统一受理并组织核验。</w:t>
      </w:r>
    </w:p>
    <w:p>
      <w:pPr>
        <w:spacing w:line="600" w:lineRule="exact"/>
        <w:ind w:firstLine="643" w:firstLineChars="200"/>
        <w:rPr>
          <w:rFonts w:ascii="仿宋_GB2312" w:hAnsi="仿宋" w:eastAsia="仿宋_GB2312" w:cs="宋体"/>
          <w:b/>
          <w:color w:val="auto"/>
          <w:kern w:val="0"/>
          <w:sz w:val="32"/>
          <w:szCs w:val="32"/>
          <w:u w:val="double"/>
        </w:rPr>
      </w:pPr>
    </w:p>
    <w:p>
      <w:pPr>
        <w:spacing w:line="600" w:lineRule="exact"/>
        <w:ind w:firstLine="640" w:firstLineChars="200"/>
        <w:rPr>
          <w:rFonts w:ascii="仿宋_GB2312" w:hAnsi="仿宋" w:eastAsia="仿宋_GB2312"/>
          <w:color w:val="auto"/>
          <w:sz w:val="32"/>
          <w:szCs w:val="32"/>
        </w:rPr>
      </w:pPr>
    </w:p>
    <w:p>
      <w:pPr>
        <w:widowControl/>
        <w:shd w:val="clear" w:color="auto" w:fill="FFFFFF"/>
        <w:spacing w:line="600" w:lineRule="exact"/>
        <w:jc w:val="center"/>
        <w:rPr>
          <w:rFonts w:ascii="仿宋_GB2312" w:hAnsi="仿宋" w:eastAsia="仿宋_GB2312" w:cs="宋体"/>
          <w:b/>
          <w:color w:val="auto"/>
          <w:kern w:val="0"/>
          <w:szCs w:val="21"/>
        </w:rPr>
      </w:pPr>
      <w:r>
        <w:rPr>
          <w:rFonts w:hint="eastAsia" w:ascii="仿宋_GB2312" w:hAnsi="仿宋" w:eastAsia="仿宋_GB2312"/>
          <w:color w:val="auto"/>
          <w:sz w:val="32"/>
          <w:szCs w:val="32"/>
        </w:rPr>
        <w:br w:type="page"/>
      </w:r>
      <w:r>
        <w:rPr>
          <w:rFonts w:hint="eastAsia" w:ascii="仿宋_GB2312" w:hAnsi="仿宋" w:eastAsia="仿宋_GB2312" w:cs="宋体"/>
          <w:b/>
          <w:color w:val="auto"/>
          <w:kern w:val="0"/>
          <w:sz w:val="32"/>
          <w:szCs w:val="32"/>
        </w:rPr>
        <w:t>一、企业基本情况表</w:t>
      </w:r>
    </w:p>
    <w:tbl>
      <w:tblPr>
        <w:tblStyle w:val="6"/>
        <w:tblW w:w="94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0"/>
        <w:gridCol w:w="1620"/>
        <w:gridCol w:w="441"/>
        <w:gridCol w:w="912"/>
        <w:gridCol w:w="447"/>
        <w:gridCol w:w="20"/>
        <w:gridCol w:w="1273"/>
        <w:gridCol w:w="29"/>
        <w:gridCol w:w="251"/>
        <w:gridCol w:w="47"/>
        <w:gridCol w:w="380"/>
        <w:gridCol w:w="20"/>
        <w:gridCol w:w="6"/>
        <w:gridCol w:w="1196"/>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企业名称</w:t>
            </w:r>
          </w:p>
        </w:tc>
        <w:tc>
          <w:tcPr>
            <w:tcW w:w="2061"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932"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所属/主管部门</w:t>
            </w:r>
          </w:p>
        </w:tc>
        <w:tc>
          <w:tcPr>
            <w:tcW w:w="2842"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经营地址</w:t>
            </w:r>
          </w:p>
        </w:tc>
        <w:tc>
          <w:tcPr>
            <w:tcW w:w="7835" w:type="dxa"/>
            <w:gridSpan w:val="1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邮政编码</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3420" w:type="dxa"/>
            <w:gridSpan w:val="8"/>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固定办公面积</w:t>
            </w:r>
          </w:p>
        </w:tc>
        <w:tc>
          <w:tcPr>
            <w:tcW w:w="2795" w:type="dxa"/>
            <w:gridSpan w:val="5"/>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法人代表</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总经理</w:t>
            </w:r>
          </w:p>
        </w:tc>
        <w:tc>
          <w:tcPr>
            <w:tcW w:w="1769"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9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技术负责人</w:t>
            </w:r>
          </w:p>
        </w:tc>
        <w:tc>
          <w:tcPr>
            <w:tcW w:w="1193"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联系人</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职务</w:t>
            </w:r>
          </w:p>
        </w:tc>
        <w:tc>
          <w:tcPr>
            <w:tcW w:w="1769"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9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联系电话</w:t>
            </w:r>
          </w:p>
        </w:tc>
        <w:tc>
          <w:tcPr>
            <w:tcW w:w="1193"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restart"/>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营业执照</w:t>
            </w:r>
          </w:p>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情况</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注册号</w:t>
            </w: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769"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成立时间</w:t>
            </w:r>
          </w:p>
        </w:tc>
        <w:tc>
          <w:tcPr>
            <w:tcW w:w="3093" w:type="dxa"/>
            <w:gridSpan w:val="7"/>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注册资金</w:t>
            </w: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769"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企业类型</w:t>
            </w:r>
          </w:p>
        </w:tc>
        <w:tc>
          <w:tcPr>
            <w:tcW w:w="3093" w:type="dxa"/>
            <w:gridSpan w:val="7"/>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注册地址</w:t>
            </w:r>
          </w:p>
        </w:tc>
        <w:tc>
          <w:tcPr>
            <w:tcW w:w="6215" w:type="dxa"/>
            <w:gridSpan w:val="1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 w:hRule="atLeast"/>
        </w:trPr>
        <w:tc>
          <w:tcPr>
            <w:tcW w:w="1620" w:type="dxa"/>
            <w:vMerge w:val="restart"/>
            <w:tcMar>
              <w:top w:w="0" w:type="dxa"/>
              <w:left w:w="108" w:type="dxa"/>
              <w:bottom w:w="0" w:type="dxa"/>
              <w:right w:w="108" w:type="dxa"/>
            </w:tcMar>
            <w:vAlign w:val="center"/>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资质情况</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证书编号</w:t>
            </w:r>
          </w:p>
        </w:tc>
        <w:tc>
          <w:tcPr>
            <w:tcW w:w="6215" w:type="dxa"/>
            <w:gridSpan w:val="1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3" w:hRule="atLeast"/>
        </w:trPr>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主项资质</w:t>
            </w: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740" w:type="dxa"/>
            <w:gridSpan w:val="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批准时间</w:t>
            </w:r>
          </w:p>
        </w:tc>
        <w:tc>
          <w:tcPr>
            <w:tcW w:w="3122" w:type="dxa"/>
            <w:gridSpan w:val="8"/>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restart"/>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增项资质</w:t>
            </w:r>
          </w:p>
        </w:tc>
        <w:tc>
          <w:tcPr>
            <w:tcW w:w="6215" w:type="dxa"/>
            <w:gridSpan w:val="13"/>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6215" w:type="dxa"/>
            <w:gridSpan w:val="13"/>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trPr>
        <w:tc>
          <w:tcPr>
            <w:tcW w:w="1620" w:type="dxa"/>
            <w:tcMar>
              <w:top w:w="0" w:type="dxa"/>
              <w:left w:w="108" w:type="dxa"/>
              <w:bottom w:w="0" w:type="dxa"/>
              <w:right w:w="108" w:type="dxa"/>
            </w:tcMar>
            <w:vAlign w:val="center"/>
          </w:tcPr>
          <w:p>
            <w:pPr>
              <w:widowControl/>
              <w:spacing w:line="600" w:lineRule="exact"/>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安全生产</w:t>
            </w:r>
          </w:p>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许可证</w:t>
            </w: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证书编号</w:t>
            </w:r>
          </w:p>
        </w:tc>
        <w:tc>
          <w:tcPr>
            <w:tcW w:w="1800" w:type="dxa"/>
            <w:gridSpan w:val="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gridSpan w:val="5"/>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有效日期</w:t>
            </w:r>
          </w:p>
        </w:tc>
        <w:tc>
          <w:tcPr>
            <w:tcW w:w="2795" w:type="dxa"/>
            <w:gridSpan w:val="5"/>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1" w:hRule="atLeast"/>
        </w:trPr>
        <w:tc>
          <w:tcPr>
            <w:tcW w:w="3240"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安全质量标准化认证</w:t>
            </w:r>
          </w:p>
        </w:tc>
        <w:tc>
          <w:tcPr>
            <w:tcW w:w="1800" w:type="dxa"/>
            <w:gridSpan w:val="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□是 □否</w:t>
            </w:r>
          </w:p>
        </w:tc>
        <w:tc>
          <w:tcPr>
            <w:tcW w:w="1620" w:type="dxa"/>
            <w:gridSpan w:val="5"/>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认证时间</w:t>
            </w:r>
          </w:p>
        </w:tc>
        <w:tc>
          <w:tcPr>
            <w:tcW w:w="2795" w:type="dxa"/>
            <w:gridSpan w:val="5"/>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restart"/>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财务生产</w:t>
            </w:r>
          </w:p>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经营状况</w:t>
            </w:r>
          </w:p>
        </w:tc>
        <w:tc>
          <w:tcPr>
            <w:tcW w:w="3420"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资产总额      万元</w:t>
            </w:r>
          </w:p>
        </w:tc>
        <w:tc>
          <w:tcPr>
            <w:tcW w:w="4415" w:type="dxa"/>
            <w:gridSpan w:val="10"/>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3420"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净资产        万元</w:t>
            </w:r>
          </w:p>
        </w:tc>
        <w:tc>
          <w:tcPr>
            <w:tcW w:w="4415" w:type="dxa"/>
            <w:gridSpan w:val="10"/>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3420" w:type="dxa"/>
            <w:gridSpan w:val="4"/>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上年度共缴纳税金   万元，其中在邵阳行政区共缴纳税金   万元</w:t>
            </w:r>
          </w:p>
        </w:tc>
        <w:tc>
          <w:tcPr>
            <w:tcW w:w="4415" w:type="dxa"/>
            <w:gridSpan w:val="10"/>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上年度建筑业总产值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3420" w:type="dxa"/>
            <w:gridSpan w:val="4"/>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上年度科技研发经费        万元</w:t>
            </w:r>
          </w:p>
        </w:tc>
        <w:tc>
          <w:tcPr>
            <w:tcW w:w="4415" w:type="dxa"/>
            <w:gridSpan w:val="10"/>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上年度安全文明措施费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7835" w:type="dxa"/>
            <w:gridSpan w:val="14"/>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上年度职工教育培训费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4" w:hRule="atLeast"/>
        </w:trPr>
        <w:tc>
          <w:tcPr>
            <w:tcW w:w="1620" w:type="dxa"/>
            <w:vMerge w:val="restart"/>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企业业绩情况（说明：市外企业仅限申报邵阳市行政区业绩）</w:t>
            </w:r>
          </w:p>
        </w:tc>
        <w:tc>
          <w:tcPr>
            <w:tcW w:w="7835" w:type="dxa"/>
            <w:gridSpan w:val="1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上年度签订的合同个数 ：      个；</w:t>
            </w:r>
          </w:p>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其中：邵阳市外拓      个；市内       个；</w:t>
            </w:r>
          </w:p>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8"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在建工程数量</w:t>
            </w:r>
          </w:p>
        </w:tc>
        <w:tc>
          <w:tcPr>
            <w:tcW w:w="1353" w:type="dxa"/>
            <w:gridSpan w:val="2"/>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447" w:type="dxa"/>
            <w:gridSpan w:val="7"/>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在建工程情况总投资额</w:t>
            </w:r>
          </w:p>
        </w:tc>
        <w:tc>
          <w:tcPr>
            <w:tcW w:w="2415" w:type="dxa"/>
            <w:gridSpan w:val="4"/>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7835" w:type="dxa"/>
            <w:gridSpan w:val="1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9"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5000万以上项目个数</w:t>
            </w:r>
          </w:p>
        </w:tc>
        <w:tc>
          <w:tcPr>
            <w:tcW w:w="1820" w:type="dxa"/>
            <w:gridSpan w:val="4"/>
            <w:vAlign w:val="center"/>
          </w:tcPr>
          <w:p>
            <w:pPr>
              <w:widowControl/>
              <w:spacing w:line="600" w:lineRule="exact"/>
              <w:ind w:firstLine="420" w:firstLineChars="200"/>
              <w:rPr>
                <w:rFonts w:ascii="仿宋_GB2312" w:hAnsi="仿宋" w:eastAsia="仿宋_GB2312" w:cs="宋体"/>
                <w:color w:val="auto"/>
                <w:kern w:val="0"/>
                <w:szCs w:val="21"/>
              </w:rPr>
            </w:pPr>
          </w:p>
        </w:tc>
        <w:tc>
          <w:tcPr>
            <w:tcW w:w="1980" w:type="dxa"/>
            <w:gridSpan w:val="5"/>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2000-5000万项目个数</w:t>
            </w:r>
          </w:p>
        </w:tc>
        <w:tc>
          <w:tcPr>
            <w:tcW w:w="2415"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500-2000万项目个数</w:t>
            </w:r>
          </w:p>
        </w:tc>
        <w:tc>
          <w:tcPr>
            <w:tcW w:w="1820" w:type="dxa"/>
            <w:gridSpan w:val="4"/>
            <w:vAlign w:val="center"/>
          </w:tcPr>
          <w:p>
            <w:pPr>
              <w:widowControl/>
              <w:spacing w:line="600" w:lineRule="exact"/>
              <w:ind w:firstLine="420" w:firstLineChars="200"/>
              <w:rPr>
                <w:rFonts w:ascii="仿宋_GB2312" w:hAnsi="仿宋" w:eastAsia="仿宋_GB2312" w:cs="宋体"/>
                <w:color w:val="auto"/>
                <w:kern w:val="0"/>
                <w:szCs w:val="21"/>
              </w:rPr>
            </w:pPr>
          </w:p>
        </w:tc>
        <w:tc>
          <w:tcPr>
            <w:tcW w:w="1980" w:type="dxa"/>
            <w:gridSpan w:val="5"/>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500万以下项目个数</w:t>
            </w:r>
          </w:p>
        </w:tc>
        <w:tc>
          <w:tcPr>
            <w:tcW w:w="2415"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trPr>
        <w:tc>
          <w:tcPr>
            <w:tcW w:w="1620" w:type="dxa"/>
            <w:vMerge w:val="restart"/>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企业人员情况</w:t>
            </w:r>
          </w:p>
        </w:tc>
        <w:tc>
          <w:tcPr>
            <w:tcW w:w="1620" w:type="dxa"/>
            <w:vMerge w:val="restart"/>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注册建造师人数</w:t>
            </w:r>
          </w:p>
        </w:tc>
        <w:tc>
          <w:tcPr>
            <w:tcW w:w="1820" w:type="dxa"/>
            <w:gridSpan w:val="4"/>
            <w:vMerge w:val="restart"/>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c>
          <w:tcPr>
            <w:tcW w:w="2006" w:type="dxa"/>
            <w:gridSpan w:val="7"/>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一级</w:t>
            </w:r>
          </w:p>
        </w:tc>
        <w:tc>
          <w:tcPr>
            <w:tcW w:w="2389" w:type="dxa"/>
            <w:gridSpan w:val="2"/>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trPr>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820" w:type="dxa"/>
            <w:gridSpan w:val="4"/>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006" w:type="dxa"/>
            <w:gridSpan w:val="7"/>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二级</w:t>
            </w:r>
          </w:p>
        </w:tc>
        <w:tc>
          <w:tcPr>
            <w:tcW w:w="2389" w:type="dxa"/>
            <w:gridSpan w:val="2"/>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trPr>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820" w:type="dxa"/>
            <w:gridSpan w:val="4"/>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006" w:type="dxa"/>
            <w:gridSpan w:val="7"/>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临时</w:t>
            </w:r>
          </w:p>
        </w:tc>
        <w:tc>
          <w:tcPr>
            <w:tcW w:w="2389" w:type="dxa"/>
            <w:gridSpan w:val="2"/>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restart"/>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工程师类人员</w:t>
            </w:r>
          </w:p>
        </w:tc>
        <w:tc>
          <w:tcPr>
            <w:tcW w:w="1820" w:type="dxa"/>
            <w:gridSpan w:val="4"/>
            <w:vMerge w:val="restart"/>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人</w:t>
            </w:r>
          </w:p>
        </w:tc>
        <w:tc>
          <w:tcPr>
            <w:tcW w:w="20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安全员</w:t>
            </w:r>
          </w:p>
        </w:tc>
        <w:tc>
          <w:tcPr>
            <w:tcW w:w="2395" w:type="dxa"/>
            <w:gridSpan w:val="3"/>
            <w:shd w:val="clear" w:color="auto" w:fill="auto"/>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820" w:type="dxa"/>
            <w:gridSpan w:val="4"/>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0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质量员</w:t>
            </w:r>
          </w:p>
        </w:tc>
        <w:tc>
          <w:tcPr>
            <w:tcW w:w="2395" w:type="dxa"/>
            <w:gridSpan w:val="3"/>
            <w:shd w:val="clear" w:color="auto" w:fill="auto"/>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820" w:type="dxa"/>
            <w:gridSpan w:val="4"/>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0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施工员</w:t>
            </w:r>
          </w:p>
        </w:tc>
        <w:tc>
          <w:tcPr>
            <w:tcW w:w="2395" w:type="dxa"/>
            <w:gridSpan w:val="3"/>
            <w:shd w:val="clear" w:color="auto" w:fill="auto"/>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1820" w:type="dxa"/>
            <w:gridSpan w:val="4"/>
            <w:vMerge w:val="continue"/>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p>
        </w:tc>
        <w:tc>
          <w:tcPr>
            <w:tcW w:w="20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其他人员</w:t>
            </w:r>
          </w:p>
        </w:tc>
        <w:tc>
          <w:tcPr>
            <w:tcW w:w="2395" w:type="dxa"/>
            <w:gridSpan w:val="3"/>
            <w:shd w:val="clear" w:color="auto" w:fill="auto"/>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4" w:hRule="atLeast"/>
        </w:trPr>
        <w:tc>
          <w:tcPr>
            <w:tcW w:w="1620" w:type="dxa"/>
            <w:vMerge w:val="continue"/>
            <w:vAlign w:val="center"/>
          </w:tcPr>
          <w:p>
            <w:pPr>
              <w:widowControl/>
              <w:spacing w:line="600" w:lineRule="exact"/>
              <w:ind w:firstLine="420" w:firstLineChars="200"/>
              <w:rPr>
                <w:rFonts w:ascii="仿宋_GB2312" w:hAnsi="仿宋" w:eastAsia="仿宋_GB2312" w:cs="宋体"/>
                <w:color w:val="auto"/>
                <w:kern w:val="0"/>
                <w:szCs w:val="21"/>
              </w:rPr>
            </w:pPr>
          </w:p>
        </w:tc>
        <w:tc>
          <w:tcPr>
            <w:tcW w:w="1620"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三类人员</w:t>
            </w:r>
          </w:p>
        </w:tc>
        <w:tc>
          <w:tcPr>
            <w:tcW w:w="1820" w:type="dxa"/>
            <w:gridSpan w:val="4"/>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A类    人</w:t>
            </w:r>
          </w:p>
        </w:tc>
        <w:tc>
          <w:tcPr>
            <w:tcW w:w="2000" w:type="dxa"/>
            <w:gridSpan w:val="6"/>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B类     人</w:t>
            </w:r>
          </w:p>
        </w:tc>
        <w:tc>
          <w:tcPr>
            <w:tcW w:w="2395" w:type="dxa"/>
            <w:gridSpan w:val="3"/>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C类        人</w:t>
            </w:r>
          </w:p>
        </w:tc>
      </w:tr>
    </w:tbl>
    <w:p>
      <w:pPr>
        <w:widowControl/>
        <w:shd w:val="clear" w:color="auto" w:fill="FFFFFF"/>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注：1、市外企业除填写注册地址外，另需填写本市服务处所；2、上年度建筑业总产值以邵阳市统计局统计数为准；3、上述表格内容附相关证明材料复印件。</w:t>
      </w:r>
    </w:p>
    <w:p>
      <w:pPr>
        <w:widowControl/>
        <w:shd w:val="clear" w:color="auto" w:fill="FFFFFF"/>
        <w:spacing w:line="600" w:lineRule="exact"/>
        <w:ind w:firstLine="1285" w:firstLineChars="400"/>
        <w:rPr>
          <w:rFonts w:ascii="仿宋_GB2312" w:hAnsi="仿宋" w:eastAsia="仿宋_GB2312" w:cs="宋体"/>
          <w:b/>
          <w:color w:val="auto"/>
          <w:kern w:val="0"/>
          <w:sz w:val="32"/>
          <w:szCs w:val="32"/>
          <w:u w:val="double"/>
        </w:rPr>
        <w:sectPr>
          <w:headerReference r:id="rId3" w:type="default"/>
          <w:footerReference r:id="rId4" w:type="default"/>
          <w:footerReference r:id="rId5" w:type="even"/>
          <w:pgSz w:w="11906" w:h="16838"/>
          <w:pgMar w:top="1644" w:right="1418" w:bottom="1644" w:left="1531" w:header="851" w:footer="992" w:gutter="0"/>
          <w:cols w:space="425" w:num="1"/>
          <w:docGrid w:type="lines" w:linePitch="312" w:charSpace="0"/>
        </w:sectPr>
      </w:pPr>
    </w:p>
    <w:p>
      <w:pPr>
        <w:widowControl/>
        <w:shd w:val="clear" w:color="auto" w:fill="FFFFFF"/>
        <w:spacing w:line="600" w:lineRule="exact"/>
        <w:ind w:firstLine="640" w:firstLineChars="200"/>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二、工程项目汇总表</w:t>
      </w:r>
    </w:p>
    <w:p>
      <w:pPr>
        <w:widowControl/>
        <w:shd w:val="clear" w:color="auto" w:fill="FFFFFF"/>
        <w:spacing w:line="600" w:lineRule="exact"/>
        <w:ind w:firstLine="480" w:firstLineChars="200"/>
        <w:rPr>
          <w:rFonts w:ascii="仿宋_GB2312" w:hAnsi="仿宋" w:eastAsia="仿宋_GB2312" w:cs="宋体"/>
          <w:color w:val="auto"/>
          <w:kern w:val="0"/>
          <w:szCs w:val="21"/>
        </w:rPr>
      </w:pPr>
      <w:r>
        <w:rPr>
          <w:rFonts w:hint="eastAsia" w:ascii="仿宋_GB2312" w:hAnsi="仿宋" w:eastAsia="仿宋_GB2312" w:cs="宋体"/>
          <w:color w:val="auto"/>
          <w:kern w:val="0"/>
          <w:sz w:val="24"/>
        </w:rPr>
        <w:t>单位：万元</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02"/>
        <w:gridCol w:w="1597"/>
        <w:gridCol w:w="1597"/>
        <w:gridCol w:w="1598"/>
        <w:gridCol w:w="867"/>
        <w:gridCol w:w="1001"/>
        <w:gridCol w:w="1266"/>
        <w:gridCol w:w="1071"/>
        <w:gridCol w:w="1095"/>
        <w:gridCol w:w="1695"/>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jc w:val="center"/>
        </w:trPr>
        <w:tc>
          <w:tcPr>
            <w:tcW w:w="1002"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序号</w:t>
            </w:r>
          </w:p>
        </w:tc>
        <w:tc>
          <w:tcPr>
            <w:tcW w:w="1597"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项 目 名 称</w:t>
            </w:r>
          </w:p>
        </w:tc>
        <w:tc>
          <w:tcPr>
            <w:tcW w:w="1597"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建 设</w:t>
            </w:r>
          </w:p>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单 位</w:t>
            </w:r>
          </w:p>
        </w:tc>
        <w:tc>
          <w:tcPr>
            <w:tcW w:w="1598" w:type="dxa"/>
            <w:tcMar>
              <w:top w:w="0" w:type="dxa"/>
              <w:left w:w="108" w:type="dxa"/>
              <w:bottom w:w="0" w:type="dxa"/>
              <w:right w:w="108" w:type="dxa"/>
            </w:tcMar>
            <w:vAlign w:val="center"/>
          </w:tcPr>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工 程</w:t>
            </w:r>
          </w:p>
          <w:p>
            <w:pPr>
              <w:widowControl/>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地 点</w:t>
            </w:r>
          </w:p>
        </w:tc>
        <w:tc>
          <w:tcPr>
            <w:tcW w:w="867" w:type="dxa"/>
            <w:tcMar>
              <w:top w:w="0" w:type="dxa"/>
              <w:left w:w="108" w:type="dxa"/>
              <w:bottom w:w="0" w:type="dxa"/>
              <w:right w:w="108" w:type="dxa"/>
            </w:tcMar>
            <w:vAlign w:val="center"/>
          </w:tcPr>
          <w:p>
            <w:pPr>
              <w:widowControl/>
              <w:spacing w:line="600" w:lineRule="exact"/>
              <w:rPr>
                <w:rFonts w:ascii="仿宋_GB2312" w:hAnsi="仿宋" w:eastAsia="仿宋_GB2312" w:cs="宋体"/>
                <w:b/>
                <w:bCs/>
                <w:color w:val="auto"/>
                <w:kern w:val="0"/>
                <w:szCs w:val="21"/>
              </w:rPr>
            </w:pPr>
            <w:r>
              <w:rPr>
                <w:rFonts w:hint="eastAsia" w:ascii="仿宋_GB2312" w:hAnsi="仿宋" w:eastAsia="仿宋_GB2312" w:cs="宋体"/>
                <w:b/>
                <w:bCs/>
                <w:color w:val="auto"/>
                <w:kern w:val="0"/>
                <w:szCs w:val="21"/>
              </w:rPr>
              <w:t>工 程</w:t>
            </w:r>
          </w:p>
          <w:p>
            <w:pPr>
              <w:widowControl/>
              <w:spacing w:line="600" w:lineRule="exact"/>
              <w:rPr>
                <w:rFonts w:ascii="仿宋_GB2312" w:hAnsi="仿宋" w:eastAsia="仿宋_GB2312" w:cs="宋体"/>
                <w:b/>
                <w:bCs/>
                <w:color w:val="auto"/>
                <w:kern w:val="0"/>
                <w:szCs w:val="21"/>
              </w:rPr>
            </w:pPr>
            <w:r>
              <w:rPr>
                <w:rFonts w:hint="eastAsia" w:ascii="仿宋_GB2312" w:hAnsi="仿宋" w:eastAsia="仿宋_GB2312" w:cs="宋体"/>
                <w:b/>
                <w:bCs/>
                <w:color w:val="auto"/>
                <w:kern w:val="0"/>
                <w:szCs w:val="21"/>
              </w:rPr>
              <w:t>规 模</w:t>
            </w:r>
          </w:p>
        </w:tc>
        <w:tc>
          <w:tcPr>
            <w:tcW w:w="1001" w:type="dxa"/>
            <w:tcMar>
              <w:top w:w="0" w:type="dxa"/>
              <w:left w:w="108" w:type="dxa"/>
              <w:bottom w:w="0" w:type="dxa"/>
              <w:right w:w="108" w:type="dxa"/>
            </w:tcMar>
            <w:vAlign w:val="center"/>
          </w:tcPr>
          <w:p>
            <w:pPr>
              <w:widowControl/>
              <w:spacing w:line="600" w:lineRule="exact"/>
              <w:rPr>
                <w:rFonts w:ascii="仿宋_GB2312" w:hAnsi="仿宋" w:eastAsia="仿宋_GB2312" w:cs="宋体"/>
                <w:b/>
                <w:bCs/>
                <w:color w:val="auto"/>
                <w:kern w:val="0"/>
                <w:szCs w:val="21"/>
              </w:rPr>
            </w:pPr>
            <w:r>
              <w:rPr>
                <w:rFonts w:hint="eastAsia" w:ascii="仿宋_GB2312" w:hAnsi="仿宋" w:eastAsia="仿宋_GB2312" w:cs="宋体"/>
                <w:b/>
                <w:bCs/>
                <w:color w:val="auto"/>
                <w:kern w:val="0"/>
                <w:szCs w:val="21"/>
              </w:rPr>
              <w:t>合同  额</w:t>
            </w:r>
          </w:p>
        </w:tc>
        <w:tc>
          <w:tcPr>
            <w:tcW w:w="1266"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合同起</w:t>
            </w:r>
          </w:p>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止时间</w:t>
            </w:r>
          </w:p>
        </w:tc>
        <w:tc>
          <w:tcPr>
            <w:tcW w:w="1071" w:type="dxa"/>
            <w:tcMar>
              <w:top w:w="0" w:type="dxa"/>
              <w:left w:w="108" w:type="dxa"/>
              <w:bottom w:w="0" w:type="dxa"/>
              <w:right w:w="108" w:type="dxa"/>
            </w:tcMar>
            <w:vAlign w:val="center"/>
          </w:tcPr>
          <w:p>
            <w:pPr>
              <w:widowControl/>
              <w:spacing w:line="600" w:lineRule="exact"/>
              <w:rPr>
                <w:rFonts w:hint="eastAsia" w:ascii="仿宋_GB2312" w:hAnsi="仿宋" w:eastAsia="仿宋_GB2312" w:cs="宋体"/>
                <w:b/>
                <w:bCs/>
                <w:color w:val="auto"/>
                <w:kern w:val="0"/>
                <w:szCs w:val="21"/>
              </w:rPr>
            </w:pPr>
            <w:r>
              <w:rPr>
                <w:rFonts w:hint="eastAsia" w:ascii="仿宋_GB2312" w:hAnsi="仿宋" w:eastAsia="仿宋_GB2312" w:cs="宋体"/>
                <w:b/>
                <w:bCs/>
                <w:color w:val="auto"/>
                <w:kern w:val="0"/>
                <w:szCs w:val="21"/>
              </w:rPr>
              <w:t>项目经理</w:t>
            </w:r>
          </w:p>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姓名</w:t>
            </w:r>
          </w:p>
        </w:tc>
        <w:tc>
          <w:tcPr>
            <w:tcW w:w="1095"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形 象</w:t>
            </w:r>
          </w:p>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进 度</w:t>
            </w:r>
          </w:p>
        </w:tc>
        <w:tc>
          <w:tcPr>
            <w:tcW w:w="1695" w:type="dxa"/>
            <w:tcMar>
              <w:top w:w="0" w:type="dxa"/>
              <w:left w:w="108" w:type="dxa"/>
              <w:bottom w:w="0" w:type="dxa"/>
              <w:right w:w="108" w:type="dxa"/>
            </w:tcMar>
            <w:vAlign w:val="center"/>
          </w:tcPr>
          <w:p>
            <w:pPr>
              <w:widowControl/>
              <w:spacing w:line="600" w:lineRule="exact"/>
              <w:rPr>
                <w:rFonts w:hint="eastAsia" w:ascii="仿宋_GB2312" w:hAnsi="仿宋" w:eastAsia="仿宋_GB2312" w:cs="宋体"/>
                <w:b/>
                <w:bCs/>
                <w:color w:val="auto"/>
                <w:kern w:val="0"/>
                <w:szCs w:val="21"/>
              </w:rPr>
            </w:pPr>
            <w:r>
              <w:rPr>
                <w:rFonts w:hint="eastAsia" w:ascii="仿宋_GB2312" w:hAnsi="仿宋" w:eastAsia="仿宋_GB2312" w:cs="宋体"/>
                <w:b/>
                <w:bCs/>
                <w:color w:val="auto"/>
                <w:kern w:val="0"/>
                <w:szCs w:val="21"/>
              </w:rPr>
              <w:t>建设单位联系人</w:t>
            </w:r>
          </w:p>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姓名、电话</w:t>
            </w:r>
          </w:p>
        </w:tc>
        <w:tc>
          <w:tcPr>
            <w:tcW w:w="975" w:type="dxa"/>
            <w:tcMar>
              <w:top w:w="0" w:type="dxa"/>
              <w:left w:w="108" w:type="dxa"/>
              <w:bottom w:w="0" w:type="dxa"/>
              <w:right w:w="108" w:type="dxa"/>
            </w:tcMar>
            <w:vAlign w:val="center"/>
          </w:tcPr>
          <w:p>
            <w:pPr>
              <w:widowControl/>
              <w:spacing w:line="600" w:lineRule="exact"/>
              <w:rPr>
                <w:rFonts w:ascii="仿宋_GB2312" w:hAnsi="仿宋" w:eastAsia="仿宋_GB2312" w:cs="宋体"/>
                <w:color w:val="auto"/>
                <w:kern w:val="0"/>
                <w:szCs w:val="21"/>
              </w:rPr>
            </w:pPr>
            <w:r>
              <w:rPr>
                <w:rFonts w:hint="eastAsia" w:ascii="仿宋_GB2312" w:hAnsi="仿宋" w:eastAsia="仿宋_GB2312" w:cs="宋体"/>
                <w:b/>
                <w:bCs/>
                <w:color w:val="auto"/>
                <w:kern w:val="0"/>
                <w:szCs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6" w:hRule="atLeast"/>
          <w:jc w:val="center"/>
        </w:trPr>
        <w:tc>
          <w:tcPr>
            <w:tcW w:w="1002"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8"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86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0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266"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7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6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97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jc w:val="center"/>
        </w:trPr>
        <w:tc>
          <w:tcPr>
            <w:tcW w:w="1002"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8"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86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0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266"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7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6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97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3" w:hRule="atLeast"/>
          <w:jc w:val="center"/>
        </w:trPr>
        <w:tc>
          <w:tcPr>
            <w:tcW w:w="1002"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8"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86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0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266"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7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6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97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jc w:val="center"/>
        </w:trPr>
        <w:tc>
          <w:tcPr>
            <w:tcW w:w="1002"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8"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86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0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266"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7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6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97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jc w:val="center"/>
        </w:trPr>
        <w:tc>
          <w:tcPr>
            <w:tcW w:w="1002"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b/>
                <w:bCs/>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598"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867"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0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266"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71"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0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169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c>
          <w:tcPr>
            <w:tcW w:w="975" w:type="dxa"/>
            <w:tcMar>
              <w:top w:w="0" w:type="dxa"/>
              <w:left w:w="108" w:type="dxa"/>
              <w:bottom w:w="0" w:type="dxa"/>
              <w:right w:w="108" w:type="dxa"/>
            </w:tcMar>
            <w:vAlign w:val="center"/>
          </w:tcPr>
          <w:p>
            <w:pPr>
              <w:widowControl/>
              <w:spacing w:line="600" w:lineRule="exact"/>
              <w:ind w:firstLine="600" w:firstLineChars="200"/>
              <w:jc w:val="center"/>
              <w:rPr>
                <w:rFonts w:ascii="仿宋_GB2312" w:hAnsi="仿宋" w:eastAsia="仿宋_GB2312" w:cs="宋体"/>
                <w:color w:val="auto"/>
                <w:kern w:val="0"/>
                <w:sz w:val="30"/>
                <w:szCs w:val="30"/>
              </w:rPr>
            </w:pPr>
          </w:p>
        </w:tc>
      </w:tr>
    </w:tbl>
    <w:p>
      <w:pPr>
        <w:widowControl/>
        <w:shd w:val="clear" w:color="auto" w:fill="FFFFFF"/>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注：1、请填写上年度工程项目情况，并提供工程施工合同、施工许可证复印件（招标项目另附中标通知书复印件）；</w:t>
      </w:r>
    </w:p>
    <w:p>
      <w:pPr>
        <w:widowControl/>
        <w:shd w:val="clear" w:color="auto" w:fill="FFFFFF"/>
        <w:spacing w:line="600" w:lineRule="exact"/>
        <w:ind w:firstLine="1120" w:firstLineChars="4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2、工程规模填写项目的投资额或建筑面积、高度、层数、结构等；市政工程填写道路长度或面积等市政类工程指标；</w:t>
      </w:r>
    </w:p>
    <w:p>
      <w:pPr>
        <w:widowControl/>
        <w:shd w:val="clear" w:color="auto" w:fill="FFFFFF"/>
        <w:spacing w:line="600" w:lineRule="exact"/>
        <w:ind w:firstLine="1120" w:firstLineChars="400"/>
        <w:rPr>
          <w:rFonts w:ascii="仿宋_GB2312" w:hAnsi="仿宋" w:eastAsia="仿宋_GB2312" w:cs="宋体"/>
          <w:color w:val="auto"/>
          <w:kern w:val="0"/>
          <w:sz w:val="28"/>
          <w:szCs w:val="28"/>
        </w:rPr>
        <w:sectPr>
          <w:pgSz w:w="16838" w:h="11906" w:orient="landscape"/>
          <w:pgMar w:top="1287" w:right="624" w:bottom="1797" w:left="936" w:header="851" w:footer="992" w:gutter="0"/>
          <w:cols w:space="425" w:num="1"/>
          <w:docGrid w:type="linesAndChars" w:linePitch="312" w:charSpace="0"/>
        </w:sectPr>
      </w:pPr>
      <w:r>
        <w:rPr>
          <w:rFonts w:hint="eastAsia" w:ascii="仿宋_GB2312" w:hAnsi="仿宋" w:eastAsia="仿宋_GB2312" w:cs="宋体"/>
          <w:color w:val="auto"/>
          <w:kern w:val="0"/>
          <w:sz w:val="28"/>
          <w:szCs w:val="28"/>
        </w:rPr>
        <w:t>3、只要求填报邵阳市行政区划内工程及本市企业外拓工程。</w:t>
      </w:r>
    </w:p>
    <w:p>
      <w:pPr>
        <w:spacing w:line="600" w:lineRule="exact"/>
        <w:ind w:firstLine="643" w:firstLineChars="200"/>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三、质量、安全施工情况</w:t>
      </w:r>
    </w:p>
    <w:p>
      <w:pPr>
        <w:widowControl/>
        <w:shd w:val="clear" w:color="auto" w:fill="FFFFFF"/>
        <w:spacing w:line="60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（提供上年度邵阳市行政区划内工程以及本市企业外拓工程质量、安全施工情况）</w:t>
      </w:r>
    </w:p>
    <w:tbl>
      <w:tblPr>
        <w:tblStyle w:val="6"/>
        <w:tblW w:w="895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105"/>
        <w:gridCol w:w="1145"/>
        <w:gridCol w:w="160"/>
        <w:gridCol w:w="1559"/>
        <w:gridCol w:w="598"/>
        <w:gridCol w:w="9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95"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竣工工程</w:t>
            </w:r>
          </w:p>
        </w:tc>
        <w:tc>
          <w:tcPr>
            <w:tcW w:w="2250" w:type="dxa"/>
            <w:gridSpan w:val="2"/>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(个)</w:t>
            </w:r>
          </w:p>
        </w:tc>
        <w:tc>
          <w:tcPr>
            <w:tcW w:w="2317" w:type="dxa"/>
            <w:gridSpan w:val="3"/>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合格率</w:t>
            </w:r>
          </w:p>
        </w:tc>
        <w:tc>
          <w:tcPr>
            <w:tcW w:w="3092" w:type="dxa"/>
            <w:gridSpan w:val="2"/>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优良率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95"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质量事故</w:t>
            </w:r>
          </w:p>
        </w:tc>
        <w:tc>
          <w:tcPr>
            <w:tcW w:w="1105"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（级）</w:t>
            </w:r>
          </w:p>
        </w:tc>
        <w:tc>
          <w:tcPr>
            <w:tcW w:w="1305" w:type="dxa"/>
            <w:gridSpan w:val="2"/>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（起）</w:t>
            </w:r>
          </w:p>
        </w:tc>
        <w:tc>
          <w:tcPr>
            <w:tcW w:w="1559"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死亡   （人）</w:t>
            </w:r>
          </w:p>
        </w:tc>
        <w:tc>
          <w:tcPr>
            <w:tcW w:w="1559" w:type="dxa"/>
            <w:gridSpan w:val="2"/>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重伤   （人）  </w:t>
            </w:r>
          </w:p>
        </w:tc>
        <w:tc>
          <w:tcPr>
            <w:tcW w:w="2131"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95"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安全事故</w:t>
            </w:r>
          </w:p>
        </w:tc>
        <w:tc>
          <w:tcPr>
            <w:tcW w:w="1105"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（级）</w:t>
            </w:r>
          </w:p>
        </w:tc>
        <w:tc>
          <w:tcPr>
            <w:tcW w:w="1305" w:type="dxa"/>
            <w:gridSpan w:val="2"/>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（起）</w:t>
            </w:r>
          </w:p>
        </w:tc>
        <w:tc>
          <w:tcPr>
            <w:tcW w:w="1559"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死亡   （人）</w:t>
            </w:r>
          </w:p>
        </w:tc>
        <w:tc>
          <w:tcPr>
            <w:tcW w:w="1559" w:type="dxa"/>
            <w:gridSpan w:val="2"/>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 xml:space="preserve">重伤    （人）  </w:t>
            </w:r>
          </w:p>
        </w:tc>
        <w:tc>
          <w:tcPr>
            <w:tcW w:w="2131" w:type="dxa"/>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经济损失   （万元）</w:t>
            </w:r>
          </w:p>
        </w:tc>
      </w:tr>
    </w:tbl>
    <w:p>
      <w:pPr>
        <w:spacing w:line="600" w:lineRule="exact"/>
        <w:rPr>
          <w:rFonts w:hint="eastAsia" w:ascii="仿宋_GB2312" w:hAnsi="仿宋" w:eastAsia="仿宋_GB2312" w:cs="宋体"/>
          <w:b/>
          <w:color w:val="auto"/>
          <w:kern w:val="0"/>
          <w:sz w:val="32"/>
          <w:szCs w:val="32"/>
        </w:rPr>
      </w:pPr>
    </w:p>
    <w:p>
      <w:pPr>
        <w:spacing w:line="600" w:lineRule="exact"/>
        <w:ind w:firstLine="643" w:firstLineChars="200"/>
        <w:rPr>
          <w:rFonts w:ascii="仿宋_GB2312" w:hAnsi="仿宋" w:eastAsia="仿宋_GB2312" w:cs="宋体"/>
          <w:color w:val="auto"/>
          <w:kern w:val="0"/>
          <w:sz w:val="30"/>
          <w:szCs w:val="30"/>
        </w:rPr>
      </w:pPr>
      <w:r>
        <w:rPr>
          <w:rFonts w:hint="eastAsia" w:ascii="仿宋_GB2312" w:hAnsi="仿宋" w:eastAsia="仿宋_GB2312" w:cs="宋体"/>
          <w:b/>
          <w:color w:val="auto"/>
          <w:kern w:val="0"/>
          <w:sz w:val="32"/>
          <w:szCs w:val="32"/>
        </w:rPr>
        <w:t>四、违法违规查处记录 </w:t>
      </w:r>
    </w:p>
    <w:tbl>
      <w:tblPr>
        <w:tblStyle w:val="6"/>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2163"/>
        <w:gridCol w:w="2117"/>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工</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程</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名</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称</w:t>
            </w:r>
          </w:p>
        </w:tc>
        <w:tc>
          <w:tcPr>
            <w:tcW w:w="2163"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违 规 事 项</w:t>
            </w:r>
          </w:p>
        </w:tc>
        <w:tc>
          <w:tcPr>
            <w:tcW w:w="2117"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处 理 时 间</w:t>
            </w:r>
          </w:p>
        </w:tc>
        <w:tc>
          <w:tcPr>
            <w:tcW w:w="2343"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处</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理</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结</w:t>
            </w:r>
            <w:r>
              <w:rPr>
                <w:rFonts w:hint="eastAsia" w:ascii="宋体" w:hAnsi="宋体" w:eastAsia="仿宋_GB2312" w:cs="宋体"/>
                <w:b/>
                <w:color w:val="auto"/>
                <w:kern w:val="0"/>
                <w:szCs w:val="21"/>
              </w:rPr>
              <w:t> </w:t>
            </w:r>
            <w:r>
              <w:rPr>
                <w:rFonts w:hint="eastAsia" w:ascii="仿宋_GB2312" w:hAnsi="仿宋" w:eastAsia="仿宋_GB2312" w:cs="宋体"/>
                <w:b/>
                <w:color w:val="auto"/>
                <w:kern w:val="0"/>
                <w:szCs w:val="21"/>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spacing w:line="600" w:lineRule="exact"/>
              <w:ind w:firstLine="600" w:firstLineChars="200"/>
              <w:rPr>
                <w:rFonts w:ascii="仿宋_GB2312" w:hAnsi="仿宋" w:eastAsia="仿宋_GB2312" w:cs="宋体"/>
                <w:color w:val="auto"/>
                <w:kern w:val="0"/>
                <w:sz w:val="30"/>
                <w:szCs w:val="30"/>
              </w:rPr>
            </w:pPr>
          </w:p>
        </w:tc>
        <w:tc>
          <w:tcPr>
            <w:tcW w:w="2163" w:type="dxa"/>
          </w:tcPr>
          <w:p>
            <w:pPr>
              <w:spacing w:line="600" w:lineRule="exact"/>
              <w:ind w:firstLine="600" w:firstLineChars="200"/>
              <w:rPr>
                <w:rFonts w:ascii="仿宋_GB2312" w:hAnsi="仿宋" w:eastAsia="仿宋_GB2312" w:cs="宋体"/>
                <w:color w:val="auto"/>
                <w:kern w:val="0"/>
                <w:sz w:val="30"/>
                <w:szCs w:val="30"/>
              </w:rPr>
            </w:pPr>
          </w:p>
        </w:tc>
        <w:tc>
          <w:tcPr>
            <w:tcW w:w="2117" w:type="dxa"/>
          </w:tcPr>
          <w:p>
            <w:pPr>
              <w:spacing w:line="600" w:lineRule="exact"/>
              <w:ind w:firstLine="600" w:firstLineChars="200"/>
              <w:rPr>
                <w:rFonts w:ascii="仿宋_GB2312" w:hAnsi="仿宋" w:eastAsia="仿宋_GB2312" w:cs="宋体"/>
                <w:color w:val="auto"/>
                <w:kern w:val="0"/>
                <w:sz w:val="30"/>
                <w:szCs w:val="30"/>
              </w:rPr>
            </w:pPr>
          </w:p>
        </w:tc>
        <w:tc>
          <w:tcPr>
            <w:tcW w:w="2343" w:type="dxa"/>
          </w:tcPr>
          <w:p>
            <w:pPr>
              <w:spacing w:line="600" w:lineRule="exact"/>
              <w:ind w:firstLine="600" w:firstLineChars="200"/>
              <w:rPr>
                <w:rFonts w:ascii="仿宋_GB2312" w:hAnsi="仿宋" w:eastAsia="仿宋_GB2312" w:cs="宋体"/>
                <w:color w:val="auto"/>
                <w:kern w:val="0"/>
                <w:sz w:val="30"/>
                <w:szCs w:val="30"/>
              </w:rPr>
            </w:pPr>
          </w:p>
        </w:tc>
      </w:tr>
    </w:tbl>
    <w:p>
      <w:pPr>
        <w:widowControl/>
        <w:shd w:val="clear" w:color="auto" w:fill="FFFFFF"/>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注：本表填报企业申报上年度的邵阳行政区划内工程以及本市企业外拓工程的行政处罚决定书、不良行为记录、受到相关部门的处理情况等。</w:t>
      </w:r>
    </w:p>
    <w:p>
      <w:pPr>
        <w:spacing w:line="600" w:lineRule="exact"/>
        <w:ind w:firstLine="640" w:firstLineChars="200"/>
        <w:rPr>
          <w:rFonts w:ascii="仿宋_GB2312" w:hAnsi="仿宋" w:eastAsia="仿宋_GB2312" w:cs="宋体"/>
          <w:color w:val="auto"/>
          <w:kern w:val="0"/>
          <w:sz w:val="30"/>
          <w:szCs w:val="30"/>
        </w:rPr>
      </w:pPr>
      <w:r>
        <w:rPr>
          <w:rFonts w:hint="eastAsia" w:ascii="仿宋_GB2312" w:hAnsi="仿宋" w:eastAsia="仿宋_GB2312" w:cs="宋体"/>
          <w:color w:val="auto"/>
          <w:kern w:val="0"/>
          <w:sz w:val="32"/>
          <w:szCs w:val="32"/>
        </w:rPr>
        <w:br w:type="page"/>
      </w:r>
      <w:r>
        <w:rPr>
          <w:rFonts w:hint="eastAsia" w:ascii="仿宋_GB2312" w:hAnsi="仿宋" w:eastAsia="仿宋_GB2312" w:cs="宋体"/>
          <w:b/>
          <w:color w:val="auto"/>
          <w:kern w:val="0"/>
          <w:sz w:val="32"/>
          <w:szCs w:val="32"/>
        </w:rPr>
        <w:t>五、获奖记录</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835"/>
        <w:gridCol w:w="1681"/>
        <w:gridCol w:w="19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992"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工程名称</w:t>
            </w:r>
          </w:p>
        </w:tc>
        <w:tc>
          <w:tcPr>
            <w:tcW w:w="1835"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获奖内容</w:t>
            </w:r>
          </w:p>
        </w:tc>
        <w:tc>
          <w:tcPr>
            <w:tcW w:w="1681" w:type="dxa"/>
          </w:tcPr>
          <w:p>
            <w:pPr>
              <w:spacing w:line="600" w:lineRule="exact"/>
              <w:ind w:firstLine="422" w:firstLineChars="200"/>
              <w:rPr>
                <w:rFonts w:ascii="仿宋_GB2312" w:hAnsi="仿宋" w:eastAsia="仿宋_GB2312" w:cs="宋体"/>
                <w:b/>
                <w:color w:val="auto"/>
                <w:kern w:val="0"/>
                <w:szCs w:val="21"/>
              </w:rPr>
            </w:pPr>
            <w:r>
              <w:rPr>
                <w:rFonts w:hint="eastAsia" w:ascii="仿宋_GB2312" w:hAnsi="仿宋" w:eastAsia="仿宋_GB2312" w:cs="宋体"/>
                <w:b/>
                <w:color w:val="auto"/>
                <w:kern w:val="0"/>
                <w:szCs w:val="21"/>
              </w:rPr>
              <w:t>获奖时间</w:t>
            </w:r>
          </w:p>
        </w:tc>
        <w:tc>
          <w:tcPr>
            <w:tcW w:w="1919" w:type="dxa"/>
          </w:tcPr>
          <w:p>
            <w:pPr>
              <w:spacing w:line="600" w:lineRule="exact"/>
              <w:jc w:val="center"/>
              <w:rPr>
                <w:rFonts w:ascii="仿宋_GB2312" w:hAnsi="仿宋" w:eastAsia="仿宋_GB2312" w:cs="宋体"/>
                <w:b/>
                <w:color w:val="auto"/>
                <w:kern w:val="0"/>
                <w:szCs w:val="21"/>
              </w:rPr>
            </w:pPr>
            <w:r>
              <w:rPr>
                <w:rFonts w:ascii="仿宋_GB2312" w:hAnsi="仿宋" w:eastAsia="仿宋_GB2312" w:cs="宋体"/>
                <w:b/>
                <w:color w:val="auto"/>
                <w:kern w:val="0"/>
                <w:szCs w:val="21"/>
              </w:rPr>
              <w:t>获奖单位</w:t>
            </w:r>
          </w:p>
        </w:tc>
        <w:tc>
          <w:tcPr>
            <w:tcW w:w="1681" w:type="dxa"/>
          </w:tcPr>
          <w:p>
            <w:pPr>
              <w:spacing w:line="600" w:lineRule="exact"/>
              <w:jc w:val="center"/>
              <w:rPr>
                <w:rFonts w:ascii="仿宋_GB2312" w:hAnsi="仿宋" w:eastAsia="仿宋_GB2312" w:cs="宋体"/>
                <w:b/>
                <w:color w:val="auto"/>
                <w:kern w:val="0"/>
                <w:szCs w:val="21"/>
              </w:rPr>
            </w:pPr>
            <w:r>
              <w:rPr>
                <w:rFonts w:ascii="仿宋_GB2312" w:hAnsi="仿宋" w:eastAsia="仿宋_GB2312"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92" w:type="dxa"/>
          </w:tcPr>
          <w:p>
            <w:pPr>
              <w:spacing w:line="600" w:lineRule="exact"/>
              <w:ind w:firstLine="600" w:firstLineChars="200"/>
              <w:rPr>
                <w:rFonts w:ascii="仿宋_GB2312" w:hAnsi="仿宋" w:eastAsia="仿宋_GB2312" w:cs="宋体"/>
                <w:color w:val="auto"/>
                <w:kern w:val="0"/>
                <w:sz w:val="30"/>
                <w:szCs w:val="30"/>
              </w:rPr>
            </w:pPr>
          </w:p>
        </w:tc>
        <w:tc>
          <w:tcPr>
            <w:tcW w:w="1835"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c>
          <w:tcPr>
            <w:tcW w:w="1919" w:type="dxa"/>
          </w:tcPr>
          <w:p>
            <w:pPr>
              <w:spacing w:line="600" w:lineRule="exact"/>
              <w:ind w:firstLine="600" w:firstLineChars="200"/>
              <w:rPr>
                <w:rFonts w:ascii="仿宋_GB2312" w:hAnsi="仿宋" w:eastAsia="仿宋_GB2312" w:cs="宋体"/>
                <w:color w:val="auto"/>
                <w:kern w:val="0"/>
                <w:sz w:val="30"/>
                <w:szCs w:val="30"/>
              </w:rPr>
            </w:pPr>
          </w:p>
        </w:tc>
        <w:tc>
          <w:tcPr>
            <w:tcW w:w="1681" w:type="dxa"/>
          </w:tcPr>
          <w:p>
            <w:pPr>
              <w:spacing w:line="600" w:lineRule="exact"/>
              <w:ind w:firstLine="600" w:firstLineChars="200"/>
              <w:rPr>
                <w:rFonts w:ascii="仿宋_GB2312" w:hAnsi="仿宋" w:eastAsia="仿宋_GB2312" w:cs="宋体"/>
                <w:color w:val="auto"/>
                <w:kern w:val="0"/>
                <w:sz w:val="30"/>
                <w:szCs w:val="30"/>
              </w:rPr>
            </w:pPr>
          </w:p>
        </w:tc>
      </w:tr>
    </w:tbl>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注：1、获奖项目是指邵阳市行政区划内项目或本市企业外拓获奖工程；2、邵阳市行政区划内项目或邵阳市属企业外拓工程项目如获得相关奖项的，请在备注栏简要注明项目获奖名称；其中获得鲁班奖、国家优质工程奖、詹天佑奖、中国建筑工程装饰奖、中国安装之星、中国钢结构金奖等国家奖项为相关表彰通知发布之日起有效期为2年；获得芙蓉奖、湖南省优质工程、全国范围组织学习交流的建设工程项目施工安全生产标准化工地等省级奖项为相关表彰通知发布之日起有效期为1年；获得湖南省建筑施工考评优良工地奖项、邵阳市优质工程等奖项为相关表彰通知发布之日起有效期为1年。</w:t>
      </w:r>
    </w:p>
    <w:p>
      <w:pPr>
        <w:spacing w:line="600" w:lineRule="exact"/>
        <w:ind w:firstLine="640" w:firstLineChars="200"/>
        <w:rPr>
          <w:rFonts w:ascii="仿宋_GB2312" w:hAnsi="仿宋" w:eastAsia="仿宋_GB2312" w:cs="宋体"/>
          <w:b/>
          <w:color w:val="auto"/>
          <w:kern w:val="0"/>
          <w:sz w:val="32"/>
          <w:szCs w:val="32"/>
        </w:rPr>
      </w:pPr>
      <w:r>
        <w:rPr>
          <w:rFonts w:hint="eastAsia" w:ascii="仿宋_GB2312" w:hAnsi="仿宋" w:eastAsia="仿宋_GB2312" w:cs="宋体"/>
          <w:color w:val="auto"/>
          <w:kern w:val="0"/>
          <w:sz w:val="32"/>
          <w:szCs w:val="32"/>
        </w:rPr>
        <w:br w:type="page"/>
      </w:r>
      <w:r>
        <w:rPr>
          <w:rFonts w:hint="eastAsia" w:ascii="仿宋_GB2312" w:hAnsi="仿宋" w:eastAsia="仿宋_GB2312" w:cs="宋体"/>
          <w:b/>
          <w:color w:val="auto"/>
          <w:kern w:val="0"/>
          <w:sz w:val="32"/>
          <w:szCs w:val="32"/>
        </w:rPr>
        <w:t>六、申请审批表</w:t>
      </w:r>
    </w:p>
    <w:tbl>
      <w:tblPr>
        <w:tblStyle w:val="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9073" w:type="dxa"/>
          </w:tcPr>
          <w:p>
            <w:pPr>
              <w:spacing w:line="600" w:lineRule="exac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企业自评打分：</w:t>
            </w:r>
            <w:r>
              <w:rPr>
                <w:rFonts w:hint="eastAsia" w:ascii="仿宋_GB2312" w:hAnsi="仿宋" w:eastAsia="仿宋_GB2312" w:cs="宋体"/>
                <w:color w:val="auto"/>
                <w:kern w:val="0"/>
                <w:sz w:val="28"/>
                <w:szCs w:val="28"/>
                <w:u w:val="single"/>
              </w:rPr>
              <w:t xml:space="preserve">           </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申请评定等级：</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□AAA级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□B级</w:t>
            </w:r>
          </w:p>
          <w:p>
            <w:pPr>
              <w:spacing w:line="600" w:lineRule="exact"/>
              <w:ind w:firstLine="3920" w:firstLineChars="1400"/>
              <w:rPr>
                <w:rFonts w:hint="eastAsia" w:ascii="宋体" w:hAnsi="宋体" w:eastAsia="仿宋_GB2312" w:cs="宋体"/>
                <w:color w:val="auto"/>
                <w:kern w:val="0"/>
                <w:sz w:val="28"/>
                <w:szCs w:val="28"/>
              </w:rPr>
            </w:pPr>
            <w:r>
              <w:rPr>
                <w:rFonts w:hint="eastAsia" w:ascii="仿宋_GB2312" w:hAnsi="仿宋" w:eastAsia="仿宋_GB2312" w:cs="宋体"/>
                <w:color w:val="auto"/>
                <w:kern w:val="0"/>
                <w:sz w:val="28"/>
                <w:szCs w:val="28"/>
              </w:rPr>
              <w:t>负责人签字：（盖章）</w:t>
            </w:r>
            <w:r>
              <w:rPr>
                <w:rFonts w:hint="eastAsia" w:ascii="宋体" w:hAnsi="宋体" w:eastAsia="仿宋_GB2312" w:cs="宋体"/>
                <w:color w:val="auto"/>
                <w:kern w:val="0"/>
                <w:sz w:val="28"/>
                <w:szCs w:val="28"/>
              </w:rPr>
              <w:t> </w:t>
            </w:r>
          </w:p>
          <w:p>
            <w:pPr>
              <w:spacing w:line="600" w:lineRule="exact"/>
              <w:ind w:firstLine="5040" w:firstLineChars="18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年</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月</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日</w:t>
            </w:r>
            <w:r>
              <w:rPr>
                <w:rFonts w:hint="eastAsia" w:ascii="宋体" w:hAnsi="宋体" w:eastAsia="仿宋_GB2312" w:cs="宋体"/>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073" w:type="dxa"/>
          </w:tcPr>
          <w:p>
            <w:pPr>
              <w:spacing w:line="600" w:lineRule="exac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县市建设行政主管部门或市相关行业协会推荐意见：</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经审核，该公司申报资料符合要求，同意推荐该公司信用等级评定为：</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□AAA级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□B级</w:t>
            </w:r>
          </w:p>
          <w:p>
            <w:pPr>
              <w:snapToGrid w:val="0"/>
              <w:spacing w:line="600" w:lineRule="exact"/>
              <w:ind w:firstLine="3920" w:firstLineChars="14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负责人签字：（盖章）</w:t>
            </w:r>
          </w:p>
          <w:p>
            <w:pPr>
              <w:snapToGrid w:val="0"/>
              <w:spacing w:line="600" w:lineRule="exact"/>
              <w:ind w:firstLine="5040" w:firstLineChars="18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年</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月</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日</w:t>
            </w:r>
            <w:r>
              <w:rPr>
                <w:rFonts w:hint="eastAsia" w:ascii="宋体" w:hAnsi="宋体" w:eastAsia="仿宋_GB2312" w:cs="宋体"/>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trPr>
        <w:tc>
          <w:tcPr>
            <w:tcW w:w="9073" w:type="dxa"/>
          </w:tcPr>
          <w:p>
            <w:pPr>
              <w:spacing w:line="600" w:lineRule="exac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市评价办意见：</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经评定及考核委员会评审，同意该公司信用等级评定为：</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□AAA级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□B级</w:t>
            </w:r>
          </w:p>
          <w:p>
            <w:pPr>
              <w:spacing w:line="600" w:lineRule="exact"/>
              <w:ind w:firstLine="3920" w:firstLineChars="14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负责人签字：（盖章）</w:t>
            </w:r>
          </w:p>
          <w:p>
            <w:pPr>
              <w:spacing w:line="600" w:lineRule="exact"/>
              <w:ind w:firstLine="5040" w:firstLineChars="18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年</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月</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日</w:t>
            </w:r>
            <w:r>
              <w:rPr>
                <w:rFonts w:hint="eastAsia" w:ascii="宋体" w:hAnsi="宋体" w:eastAsia="仿宋_GB2312" w:cs="宋体"/>
                <w:color w:val="auto"/>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073" w:type="dxa"/>
          </w:tcPr>
          <w:p>
            <w:pPr>
              <w:spacing w:line="600" w:lineRule="exac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市评价领导小组审批意见：</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经审核，同意该公司信用等级评定为：</w:t>
            </w:r>
          </w:p>
          <w:p>
            <w:pPr>
              <w:spacing w:line="60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□AAA级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□A级</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□B级</w:t>
            </w:r>
          </w:p>
          <w:p>
            <w:pPr>
              <w:spacing w:line="600" w:lineRule="exact"/>
              <w:ind w:firstLine="3920" w:firstLineChars="1400"/>
              <w:rPr>
                <w:rFonts w:hint="eastAsia"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负责人签字：（盖章）</w:t>
            </w:r>
          </w:p>
          <w:p>
            <w:pPr>
              <w:spacing w:line="600" w:lineRule="exact"/>
              <w:ind w:firstLine="5040" w:firstLineChars="18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年</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月</w:t>
            </w:r>
            <w:r>
              <w:rPr>
                <w:rFonts w:hint="eastAsia" w:ascii="宋体" w:hAnsi="宋体" w:eastAsia="仿宋_GB2312" w:cs="宋体"/>
                <w:color w:val="auto"/>
                <w:kern w:val="0"/>
                <w:sz w:val="28"/>
                <w:szCs w:val="28"/>
              </w:rPr>
              <w:t>   </w:t>
            </w:r>
            <w:r>
              <w:rPr>
                <w:rFonts w:hint="eastAsia" w:ascii="仿宋_GB2312" w:hAnsi="仿宋" w:eastAsia="仿宋_GB2312" w:cs="宋体"/>
                <w:color w:val="auto"/>
                <w:kern w:val="0"/>
                <w:sz w:val="28"/>
                <w:szCs w:val="28"/>
              </w:rPr>
              <w:t>日</w:t>
            </w:r>
          </w:p>
        </w:tc>
      </w:tr>
    </w:tbl>
    <w:p>
      <w:pPr>
        <w:autoSpaceDE w:val="0"/>
        <w:autoSpaceDN w:val="0"/>
        <w:adjustRightInd w:val="0"/>
        <w:spacing w:line="600" w:lineRule="exact"/>
        <w:ind w:firstLine="60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0"/>
          <w:szCs w:val="30"/>
        </w:rPr>
        <w:br w:type="page"/>
      </w:r>
      <w:r>
        <w:rPr>
          <w:rFonts w:hint="eastAsia" w:ascii="仿宋_GB2312" w:hAnsi="仿宋" w:eastAsia="仿宋_GB2312" w:cs="宋体"/>
          <w:b/>
          <w:color w:val="auto"/>
          <w:kern w:val="0"/>
          <w:sz w:val="44"/>
          <w:szCs w:val="44"/>
        </w:rPr>
        <w:t>邵阳市建筑施工企业信用等级评定标准</w:t>
      </w:r>
    </w:p>
    <w:p>
      <w:pPr>
        <w:spacing w:line="600" w:lineRule="exact"/>
        <w:ind w:left="640"/>
        <w:rPr>
          <w:rFonts w:hint="eastAsia" w:ascii="仿宋_GB2312" w:hAnsi="仿宋" w:eastAsia="仿宋_GB2312" w:cs="宋体"/>
          <w:color w:val="auto"/>
          <w:kern w:val="0"/>
          <w:sz w:val="32"/>
          <w:szCs w:val="32"/>
        </w:rPr>
      </w:pPr>
    </w:p>
    <w:p>
      <w:pPr>
        <w:spacing w:line="600" w:lineRule="exact"/>
        <w:ind w:left="64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申报企业___________</w:t>
      </w:r>
    </w:p>
    <w:p>
      <w:pPr>
        <w:spacing w:line="600" w:lineRule="exact"/>
        <w:ind w:left="640"/>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一、企业内部各项管理保障体系 17分</w:t>
      </w:r>
    </w:p>
    <w:tbl>
      <w:tblPr>
        <w:tblStyle w:val="6"/>
        <w:tblW w:w="980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6"/>
        <w:gridCol w:w="667"/>
        <w:gridCol w:w="667"/>
        <w:gridCol w:w="66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1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评定内容及标准</w:t>
            </w:r>
          </w:p>
        </w:tc>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w:t>
            </w:r>
          </w:p>
        </w:tc>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w:t>
            </w:r>
          </w:p>
        </w:tc>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hint="eastAsia" w:ascii="仿宋_GB2312" w:hAnsi="仿宋" w:eastAsia="仿宋_GB2312"/>
                <w:b/>
                <w:bCs/>
                <w:color w:val="auto"/>
                <w:szCs w:val="21"/>
              </w:rPr>
            </w:pPr>
            <w:r>
              <w:rPr>
                <w:rFonts w:hint="eastAsia" w:ascii="仿宋_GB2312" w:hAnsi="仿宋" w:eastAsia="仿宋_GB2312"/>
                <w:b/>
                <w:bCs/>
                <w:color w:val="auto"/>
                <w:szCs w:val="21"/>
              </w:rPr>
              <w:t>审</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取得营业执照、资质证书等且在有效期内，符合要求的记0.5分，缺一项记0分。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企业在邵注册时间。1年(含本数)-2年(含本数)的记1分;2年(不含本数)-5年(含本数)的记3分；6年以上的记5分。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未按规定设立组织机构的，扣1分；设立的组织机构不明确、部门职责不健全、主要人员配置不齐全、相关人员不到位的，扣0.5分。符合要求的记1分。企业提供20人及以上人员经邵阳人社局登记的劳动合同和在邵阳购买社保证明的记3分，未提供或提供不符合要求的记0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编制完善的质量、安全、经营、技术、人力资源、财务、合同（商务经营）、材料、设备、档案以及风险管理等规章制度管理。符合要求的记1分，每缺一项扣0.2分，实施不到位扣1分。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1、特级施工资质企业年产值10亿元以上的计5分，每少8000万元的减1分；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2、一级施工资质企业年产值3亿元以上的计5分，每少2500万元的减1分；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3、二级施工资质企业年产值1.0亿元以上的计5分，每少800万元的减1分；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4、三级施工资质企业年产值0.6亿元以上的计5分，每少500万元的减1分。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中级职称人员、建造师数量满足最低资质标准要求的，记0.5分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企业建立了完善的教育培训体系、创建了企业网站的，记0.5分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按规定向市县（市）住房和城乡建设部门上报统计报表的计0.5分，缺报1次季报表扣的0.5分，最多扣0.5分。</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小计</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 w:eastAsia="仿宋_GB2312"/>
          <w:bCs/>
          <w:color w:val="auto"/>
          <w:sz w:val="32"/>
          <w:szCs w:val="32"/>
        </w:rPr>
      </w:pPr>
      <w:r>
        <w:rPr>
          <w:rFonts w:hint="eastAsia" w:ascii="仿宋_GB2312" w:hAnsi="仿宋" w:eastAsia="仿宋_GB2312" w:cs="宋体"/>
          <w:color w:val="auto"/>
          <w:kern w:val="0"/>
          <w:szCs w:val="21"/>
        </w:rPr>
        <w:t>说明：1、企业产值以邵阳市统计部门采集数据为准；2、附相关证明材料复印件；3、市、县住建局相关科室和二级机构负责采集相关评价数据；4、企业拥有多个资质的，其中级职称人员、建造师数量按资质标准要求最少的数量进行考核。</w:t>
      </w:r>
      <w:r>
        <w:rPr>
          <w:rFonts w:hint="eastAsia" w:ascii="仿宋_GB2312" w:hAnsi="仿宋" w:eastAsia="仿宋_GB2312" w:cs="宋体"/>
          <w:color w:val="auto"/>
          <w:kern w:val="0"/>
          <w:sz w:val="32"/>
          <w:szCs w:val="32"/>
        </w:rPr>
        <w:br w:type="page"/>
      </w:r>
      <w:r>
        <w:rPr>
          <w:rFonts w:hint="eastAsia" w:ascii="仿宋_GB2312" w:hAnsi="仿宋" w:eastAsia="仿宋_GB2312" w:cs="宋体"/>
          <w:b/>
          <w:color w:val="auto"/>
          <w:kern w:val="0"/>
          <w:sz w:val="32"/>
          <w:szCs w:val="32"/>
        </w:rPr>
        <w:t>二、社会责任 8分</w:t>
      </w:r>
    </w:p>
    <w:tbl>
      <w:tblPr>
        <w:tblStyle w:val="6"/>
        <w:tblW w:w="95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2"/>
        <w:gridCol w:w="679"/>
        <w:gridCol w:w="679"/>
        <w:gridCol w:w="679"/>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6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评定内容及标准</w:t>
            </w:r>
          </w:p>
        </w:tc>
        <w:tc>
          <w:tcPr>
            <w:tcW w:w="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w:t>
            </w:r>
          </w:p>
        </w:tc>
        <w:tc>
          <w:tcPr>
            <w:tcW w:w="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w:t>
            </w:r>
          </w:p>
        </w:tc>
        <w:tc>
          <w:tcPr>
            <w:tcW w:w="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hint="eastAsia" w:ascii="仿宋_GB2312" w:hAnsi="仿宋" w:eastAsia="仿宋_GB2312"/>
                <w:b/>
                <w:bCs/>
                <w:color w:val="auto"/>
                <w:szCs w:val="21"/>
              </w:rPr>
            </w:pPr>
            <w:r>
              <w:rPr>
                <w:rFonts w:hint="eastAsia" w:ascii="仿宋_GB2312" w:hAnsi="仿宋" w:eastAsia="仿宋_GB2312"/>
                <w:b/>
                <w:bCs/>
                <w:color w:val="auto"/>
                <w:szCs w:val="21"/>
              </w:rPr>
              <w:t>审</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80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在邵阳市行政区捐资助学、扶贫捐助、捐（赞）助社会公益活动的，每捐（赞）款（或物资款）2万元计0.1分，最多计1分；在邵阳市行政区履行当地政府或其部门组织的应急救援、抢险救灾和其他履行社会责任的，按贡献大小和次数多少分别计0.5分／次、1分／次，最多计1分；积极参加主管部门、行业协会组织的各项活动、竞赛等，每次计0.5分，最多计1分。本项最多记3分</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680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施工现场流动人口计划生育综合治理机构健全，管理台帐齐全，在日常检查和年度检查中，发现一起不合格扣1分；社会治安综合治理情况良好，出现一起用工人员违法行为扣1分。符合要求的记2分。</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r>
              <w:rPr>
                <w:rFonts w:hint="eastAsia" w:ascii="仿宋_GB2312" w:hAnsi="仿宋" w:eastAsia="仿宋_GB2312" w:cs="宋体"/>
                <w:color w:val="auto"/>
                <w:kern w:val="0"/>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r>
              <w:rPr>
                <w:rFonts w:hint="eastAsia" w:ascii="仿宋_GB2312" w:hAnsi="仿宋" w:eastAsia="仿宋_GB2312" w:cs="宋体"/>
                <w:color w:val="auto"/>
                <w:kern w:val="0"/>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r>
              <w:rPr>
                <w:rFonts w:hint="eastAsia" w:ascii="仿宋_GB2312" w:hAnsi="仿宋" w:eastAsia="仿宋_GB2312" w:cs="宋体"/>
                <w:color w:val="auto"/>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680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获得湖南省、邵阳市及所辖县市建设行政主管部门或行业协会通报表彰或评定先进单位的分别记3、2、1分，该项不重复计分。</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s="宋体"/>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80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小计</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r>
              <w:rPr>
                <w:rFonts w:hint="eastAsia" w:ascii="仿宋_GB2312" w:hAnsi="仿宋" w:eastAsia="仿宋_GB2312"/>
                <w:color w:val="auto"/>
                <w:sz w:val="30"/>
                <w:szCs w:val="30"/>
              </w:rPr>
              <w:t xml:space="preserve">  </w:t>
            </w: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p>
        </w:tc>
        <w:tc>
          <w:tcPr>
            <w:tcW w:w="679" w:type="dxa"/>
            <w:tcBorders>
              <w:top w:val="single" w:color="auto" w:sz="4" w:space="0"/>
              <w:left w:val="single" w:color="auto" w:sz="4" w:space="0"/>
              <w:bottom w:val="single" w:color="auto" w:sz="4" w:space="0"/>
              <w:right w:val="single" w:color="auto" w:sz="4" w:space="0"/>
            </w:tcBorders>
          </w:tcPr>
          <w:p>
            <w:pPr>
              <w:spacing w:line="600" w:lineRule="exact"/>
              <w:ind w:firstLine="600" w:firstLineChars="200"/>
              <w:rPr>
                <w:rFonts w:ascii="仿宋_GB2312" w:hAnsi="仿宋" w:eastAsia="仿宋_GB2312"/>
                <w:color w:val="auto"/>
                <w:sz w:val="30"/>
                <w:szCs w:val="30"/>
              </w:rPr>
            </w:pPr>
          </w:p>
        </w:tc>
      </w:tr>
    </w:tbl>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注：附相关证明材料复印件</w:t>
      </w:r>
    </w:p>
    <w:p>
      <w:pPr>
        <w:autoSpaceDE w:val="0"/>
        <w:autoSpaceDN w:val="0"/>
        <w:adjustRightInd w:val="0"/>
        <w:spacing w:line="600" w:lineRule="exact"/>
        <w:ind w:firstLine="643" w:firstLineChars="200"/>
        <w:rPr>
          <w:rFonts w:ascii="仿宋_GB2312" w:hAnsi="仿宋" w:eastAsia="仿宋_GB2312" w:cs="宋体"/>
          <w:b/>
          <w:bCs/>
          <w:color w:val="auto"/>
          <w:sz w:val="32"/>
          <w:szCs w:val="32"/>
          <w:lang w:val="zh-CN"/>
        </w:rPr>
      </w:pPr>
    </w:p>
    <w:p>
      <w:pPr>
        <w:autoSpaceDE w:val="0"/>
        <w:autoSpaceDN w:val="0"/>
        <w:adjustRightInd w:val="0"/>
        <w:spacing w:line="600" w:lineRule="exact"/>
        <w:ind w:firstLine="643" w:firstLineChars="200"/>
        <w:rPr>
          <w:rFonts w:ascii="仿宋_GB2312" w:hAnsi="仿宋" w:eastAsia="仿宋_GB2312" w:cs="宋体"/>
          <w:b/>
          <w:bCs/>
          <w:color w:val="auto"/>
          <w:sz w:val="32"/>
          <w:szCs w:val="32"/>
          <w:lang w:val="zh-CN"/>
        </w:rPr>
      </w:pPr>
    </w:p>
    <w:p>
      <w:pPr>
        <w:autoSpaceDE w:val="0"/>
        <w:autoSpaceDN w:val="0"/>
        <w:adjustRightInd w:val="0"/>
        <w:spacing w:line="600" w:lineRule="exact"/>
        <w:ind w:firstLine="643" w:firstLineChars="200"/>
        <w:rPr>
          <w:rFonts w:ascii="仿宋_GB2312" w:hAnsi="仿宋" w:eastAsia="仿宋_GB2312" w:cs="宋体"/>
          <w:b/>
          <w:bCs/>
          <w:color w:val="auto"/>
          <w:sz w:val="32"/>
          <w:szCs w:val="32"/>
          <w:lang w:val="zh-CN"/>
        </w:rPr>
      </w:pPr>
    </w:p>
    <w:p>
      <w:pPr>
        <w:spacing w:line="600" w:lineRule="exact"/>
        <w:rPr>
          <w:rFonts w:ascii="仿宋_GB2312" w:hAnsi="仿宋" w:eastAsia="仿宋_GB2312" w:cs="宋体"/>
          <w:b/>
          <w:color w:val="auto"/>
          <w:kern w:val="0"/>
          <w:sz w:val="32"/>
          <w:szCs w:val="32"/>
          <w:u w:val="double"/>
        </w:rPr>
      </w:pPr>
      <w:r>
        <w:rPr>
          <w:rFonts w:hint="eastAsia" w:ascii="仿宋_GB2312" w:hAnsi="仿宋" w:eastAsia="仿宋_GB2312" w:cs="宋体"/>
          <w:color w:val="auto"/>
          <w:kern w:val="0"/>
          <w:sz w:val="32"/>
          <w:szCs w:val="32"/>
        </w:rPr>
        <w:br w:type="page"/>
      </w:r>
      <w:r>
        <w:rPr>
          <w:rFonts w:hint="eastAsia" w:ascii="仿宋_GB2312" w:hAnsi="仿宋" w:eastAsia="仿宋_GB2312" w:cs="宋体"/>
          <w:b/>
          <w:color w:val="auto"/>
          <w:kern w:val="0"/>
          <w:sz w:val="32"/>
          <w:szCs w:val="32"/>
        </w:rPr>
        <w:t>三、建筑工程质量、安全生产管理 43分</w:t>
      </w:r>
    </w:p>
    <w:tbl>
      <w:tblPr>
        <w:tblStyle w:val="6"/>
        <w:tblW w:w="102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1"/>
        <w:gridCol w:w="678"/>
        <w:gridCol w:w="678"/>
        <w:gridCol w:w="678"/>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5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评定内容及标准</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w:t>
            </w:r>
          </w:p>
        </w:tc>
        <w:tc>
          <w:tcPr>
            <w:tcW w:w="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hint="eastAsia" w:ascii="仿宋_GB2312" w:hAnsi="仿宋" w:eastAsia="仿宋_GB2312"/>
                <w:b/>
                <w:bCs/>
                <w:color w:val="auto"/>
                <w:szCs w:val="21"/>
              </w:rPr>
            </w:pPr>
            <w:r>
              <w:rPr>
                <w:rFonts w:hint="eastAsia" w:ascii="仿宋_GB2312" w:hAnsi="仿宋" w:eastAsia="仿宋_GB2312"/>
                <w:b/>
                <w:bCs/>
                <w:color w:val="auto"/>
                <w:szCs w:val="21"/>
              </w:rPr>
              <w:t>审</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黑体" w:hAnsi="黑体" w:eastAsia="黑体" w:cs="宋体"/>
                <w:color w:val="auto"/>
                <w:kern w:val="0"/>
                <w:sz w:val="32"/>
                <w:szCs w:val="32"/>
              </w:rPr>
            </w:pPr>
            <w:r>
              <w:rPr>
                <w:rFonts w:hint="eastAsia" w:ascii="仿宋_GB2312" w:hAnsi="仿宋" w:eastAsia="仿宋_GB2312" w:cs="仿宋_GB2312"/>
                <w:b/>
                <w:bCs/>
                <w:color w:val="auto"/>
                <w:szCs w:val="21"/>
                <w:lang w:val="zh-CN"/>
              </w:rPr>
              <w:t>扣分项（27分）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 w:eastAsia="仿宋_GB2312" w:cs="宋体"/>
                <w:color w:val="auto"/>
                <w:kern w:val="0"/>
                <w:szCs w:val="21"/>
              </w:rPr>
            </w:pPr>
            <w:r>
              <w:rPr>
                <w:rFonts w:hint="eastAsia" w:ascii="仿宋_GB2312" w:hAnsi="仿宋" w:eastAsia="仿宋_GB2312" w:cs="宋体"/>
                <w:color w:val="auto"/>
                <w:kern w:val="0"/>
                <w:szCs w:val="21"/>
              </w:rPr>
              <w:t>施工现场临时搭建的建筑物不符合安全使用要求的，每次扣0.5分；未根据不同施工阶段和周围环境及季节、气候的变化，在施工现场采取相应的安全施工措施、场内路面硬化，或者在城内的建设工程的施工现场未实行封闭围挡的，每次扣0.5分；现场建筑设备、材料堆放混乱的，每次扣0.5分；扬尘治理不到位，每次扣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未对因建设工程施工可能造成损害的毗邻建筑物、构筑物和地下管线等采取专项防护措施，每次扣0.5分。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在尚未竣工且无安全保障的建筑物内设置员工集体宿舍的，每次扣0.5分。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施工现场办公、农民工宿舍、食堂、饮水、淋浴、卫生等基本办公、生活设施不符合安全性要求和卫生标准的，每次扣0.3分。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建筑节能公示、安全标示、消防设施：未按规定在施工现场设立建筑节能公示牌的，每次扣0.3分；未在危险部位设置明显的安全警示标志，或者未按照国家有关规定在施工现场设置消防通道、消防水源、配备消防设施和灭火器材的，每次扣0.3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未建立建筑工程安全防护文明施工措施费专用帐户，不按规定支付、使用安全文明措施费，缺少一项扣0.5分；违法挪用安全防护文明施工措施费的，每次扣0.5分。文明施工现场管理差，“创卫”、“创文”、“创森”工作中被通报批评的，每次扣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企业未按规定设立质量、安全生产管理机构、配备专职质量安全管理人员，制定检查、巡查制度，扣1分；无检查记录、通报、查处意见，每少一项扣0.5分。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施工组织设计未经内部相关部门审核、施工方案未经审批擅自施工、无安全技术措施或未编制专项施工方案，每次扣0.5分；未按审批的施工组织设计和施工方案施工的，每次扣0.5分；未按规定执行危险性较大分部分项工程方案审批、专家论证、无方案施工，或论证不合格，擅自施工的，每次扣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项目部未建立工程项目质量、安全管理体系，不按规定配备专职质量、安全管理人员的，每次扣1分；专职质量、安全管理人员履行职责不到位的，每人每次扣0.2分；工程相关文件签署不符合要求的，每次扣0.5分；危险性较大的专项工程施工时无专职安全生产管理人员现场监督的，每次扣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使用未加盖施工图审查图章的图纸，每次扣1分；不按照经审查工程设计施工图、施工技术规范标准施工，每次扣0.5分；在施工中偷工减料，使用不合格的建筑材料建筑构配件，每次扣1分；降低建筑节能标准，节能施工达不到设计要求的，每次扣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因工程施工质量、安全问题引起投诉或上访，核查属实的，每次扣1分。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对建设行政主管部门提出的质量、安全隐患逾期不整改的，每次扣1分；认定上报一般不良行为记录的，个人每次扣1分，单位每次扣2分；认定上报严重不良行为记录的，个人每次扣2分，单位每次扣4分。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因工程质量、安全问题被主管部门责令停工的，每次扣0.5分；被主管部门责令停工，仍擅自施工的，每次扣2分。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建立农民工实名制通道的、有农民工工资发放专户的，每少一项扣1分。</w:t>
            </w:r>
          </w:p>
        </w:tc>
        <w:tc>
          <w:tcPr>
            <w:tcW w:w="678" w:type="dxa"/>
            <w:vMerge w:val="restart"/>
            <w:tcBorders>
              <w:top w:val="single" w:color="auto" w:sz="4" w:space="0"/>
              <w:left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restart"/>
            <w:tcBorders>
              <w:top w:val="single" w:color="auto" w:sz="4" w:space="0"/>
              <w:left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restart"/>
            <w:tcBorders>
              <w:top w:val="single" w:color="auto" w:sz="4" w:space="0"/>
              <w:left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restart"/>
            <w:tcBorders>
              <w:top w:val="single" w:color="auto" w:sz="4" w:space="0"/>
              <w:left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未按照规定对施工起重机械办理产权备案、使用登记投入使用，每次扣0.5分；委托不具有相应资质的单位承担施工现场施工起重机械设备的安装、拆卸，每次扣0.5分。</w:t>
            </w:r>
          </w:p>
        </w:tc>
        <w:tc>
          <w:tcPr>
            <w:tcW w:w="678" w:type="dxa"/>
            <w:vMerge w:val="continue"/>
            <w:tcBorders>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continue"/>
            <w:tcBorders>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continue"/>
            <w:tcBorders>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vMerge w:val="continue"/>
            <w:tcBorders>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承建的项目受到省、市、县级主管部门工程质量、安全监督检查通报批评的分别扣3、2、1分。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转让安全生产许可证，冒用或者使用伪造的安全生产许可证的，每次扣1分。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lang w:val="zh-CN"/>
              </w:rPr>
              <w:t>得分项（16分）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承建在邵阳行政区的项目或市属企业外拓项目获得鲁班奖、国家优质工程奖、詹天佑奖、中国建筑工程装饰奖、中国安装之星、中国钢结构金奖等国家奖项的，每项加5分；获得芙蓉奖、湖南省优质工程、全国范围组织学习交流的建设工程项目施工安全生产标准化工地等省级奖项的，每项加4分；获得邵阳市优质工程奖项的，每项加2分；同一项目获奖按最高奖项加分,本项最高分为8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承建在邵阳行政区的项目或市属企业外拓项目获得省级、市级建筑施工安全生产标准化年度考评优良企业的，每项分别加2、1分；获得省级、市级建筑施工质量管理标准化年度项目考评优良工地或建筑施工安全生产标准化年度项目考评优良工地的，每项分别加1、0.5分。同一项目获奖按最高奖项加分。本项最高分为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本市范围内获得省建筑节能示范工程的加1分，市建筑节能示范工程的加0.5分。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本市范围内获得省装配式示范工程的加1分，市装配式示范工程的加0.5分。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市特、一级建筑企业年度研发经费投入200万元以上的加0.5分，500万元以上的加1分。</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小计</w:t>
            </w: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c>
          <w:tcPr>
            <w:tcW w:w="678"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olor w:val="auto"/>
                <w:sz w:val="32"/>
                <w:szCs w:val="32"/>
              </w:rPr>
            </w:pPr>
          </w:p>
        </w:tc>
      </w:tr>
    </w:tbl>
    <w:p>
      <w:pPr>
        <w:spacing w:line="600" w:lineRule="exact"/>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br w:type="page"/>
      </w:r>
      <w:r>
        <w:rPr>
          <w:rFonts w:hint="eastAsia" w:ascii="仿宋_GB2312" w:hAnsi="仿宋" w:eastAsia="仿宋_GB2312" w:cs="宋体"/>
          <w:b/>
          <w:color w:val="auto"/>
          <w:kern w:val="0"/>
          <w:sz w:val="32"/>
          <w:szCs w:val="32"/>
        </w:rPr>
        <w:t>四、投标履约 17分</w:t>
      </w:r>
    </w:p>
    <w:tbl>
      <w:tblPr>
        <w:tblStyle w:val="7"/>
        <w:tblW w:w="102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6"/>
        <w:gridCol w:w="708"/>
        <w:gridCol w:w="708"/>
        <w:gridCol w:w="77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6" w:type="dxa"/>
            <w:vAlign w:val="center"/>
          </w:tcPr>
          <w:p>
            <w:pPr>
              <w:autoSpaceDE w:val="0"/>
              <w:autoSpaceDN w:val="0"/>
              <w:adjustRightInd w:val="0"/>
              <w:spacing w:line="600" w:lineRule="exact"/>
              <w:ind w:firstLine="422" w:firstLineChars="200"/>
              <w:jc w:val="center"/>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评定内容及标准</w:t>
            </w:r>
          </w:p>
        </w:tc>
        <w:tc>
          <w:tcPr>
            <w:tcW w:w="708" w:type="dxa"/>
            <w:vAlign w:val="center"/>
          </w:tcPr>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708" w:type="dxa"/>
            <w:vAlign w:val="center"/>
          </w:tcPr>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771" w:type="dxa"/>
            <w:vAlign w:val="center"/>
          </w:tcPr>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审</w:t>
            </w:r>
          </w:p>
        </w:tc>
        <w:tc>
          <w:tcPr>
            <w:tcW w:w="687" w:type="dxa"/>
            <w:vAlign w:val="center"/>
          </w:tcPr>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审</w:t>
            </w:r>
          </w:p>
          <w:p>
            <w:pPr>
              <w:autoSpaceDE w:val="0"/>
              <w:autoSpaceDN w:val="0"/>
              <w:adjustRightInd w:val="0"/>
              <w:spacing w:line="600" w:lineRule="exact"/>
              <w:jc w:val="both"/>
              <w:rPr>
                <w:rFonts w:hint="eastAsia"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7406"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标后稽查8分。存在未取得施工许可证开工、转包或违法分包、关键岗位人员弄虚作假、冒名顶替、围标串标等违法违规情形，每次扣8分。不落实考勤管理制度，每次扣1分；施工合同与投标承诺不一致，每次扣1分；未按规定配备关键岗位人员，每次扣1分；未按规定变更岗位人员或变更手续不完善，每次扣1分；未按规定提交各类履约保证金、或未按规定支付专项资金，每次扣1分；订立背离合同实质性内容的其他协议，每次扣1分；不按规定进行劳务分包，每次扣1分。</w:t>
            </w: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71"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687"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7406"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企业投标日常行为4分。恶意质疑或投诉影响招投标活动正常开展，每次扣4分；存在投标被拒收或被废标情形，每次扣2分；存在《省围标串标认定办法》规定情形之一，每次扣4分。</w:t>
            </w: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71"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687"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406"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 xml:space="preserve">   投标履约优良企业评选活动5分。参加投标履约优良企业评选活动记2分；获得投标履约优良企业记5分。</w:t>
            </w: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71"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687"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406"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小计</w:t>
            </w: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0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771"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c>
          <w:tcPr>
            <w:tcW w:w="687"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p>
        </w:tc>
      </w:tr>
    </w:tbl>
    <w:p>
      <w:pPr>
        <w:spacing w:line="600" w:lineRule="exact"/>
        <w:rPr>
          <w:rFonts w:ascii="仿宋_GB2312" w:hAnsi="仿宋" w:eastAsia="仿宋_GB2312" w:cs="宋体"/>
          <w:color w:val="auto"/>
          <w:kern w:val="0"/>
          <w:sz w:val="32"/>
          <w:szCs w:val="32"/>
        </w:rPr>
      </w:pPr>
    </w:p>
    <w:p>
      <w:pPr>
        <w:spacing w:line="600" w:lineRule="exact"/>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br w:type="page"/>
      </w:r>
      <w:r>
        <w:rPr>
          <w:rFonts w:hint="eastAsia" w:ascii="仿宋_GB2312" w:hAnsi="仿宋" w:eastAsia="仿宋_GB2312" w:cs="宋体"/>
          <w:b/>
          <w:color w:val="auto"/>
          <w:kern w:val="0"/>
          <w:sz w:val="32"/>
          <w:szCs w:val="32"/>
        </w:rPr>
        <w:t>五、执行法律法规情况 10分</w:t>
      </w:r>
    </w:p>
    <w:tbl>
      <w:tblPr>
        <w:tblStyle w:val="6"/>
        <w:tblW w:w="96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6"/>
        <w:gridCol w:w="588"/>
        <w:gridCol w:w="589"/>
        <w:gridCol w:w="589"/>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评定内容及标准</w:t>
            </w:r>
          </w:p>
        </w:tc>
        <w:tc>
          <w:tcPr>
            <w:tcW w:w="5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年度内受到建设行业主管部门行政处理的，每次扣3分。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不配合主管部门的执法检查或不服从主管部门管理以及拒不整改的，每次扣2分。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未取得项目施工许可擅自施工的，每个项目扣1分。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未按规定办理建筑施工（总承包）合同备案、变更备案的，每次扣0.5分。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工程项目部管理人员、建造师、“三类人员”与招投标备案人员不一致的，每人每次扣1分；其它“关键岗位人员” 与招投标备案人员不一致的，每人每次扣0.5分；建造师、“三类人员”脱岗或不履职的，每人每次扣0.5分；“关键岗位人员” 脱岗或不履职的，每人每次扣0.2分；建造师、“三类人员”同时承接两个及以上大中型在建项目的，每人每次扣1分；项目经理部人员未履行合同实施有效管理的，每次扣1分；变更建造师不及时办理变更手续的，每次扣0.5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现场特种作业人员持证上岗率不足100%的，每次扣0.5分；现场作业人员持证上岗率不足90%的，每次扣1分。</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小计</w:t>
            </w:r>
          </w:p>
        </w:tc>
        <w:tc>
          <w:tcPr>
            <w:tcW w:w="588"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589"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bl>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注：无上述行为的计满分；有上述行为的，按标准扣分，最多扣10分。</w:t>
      </w:r>
    </w:p>
    <w:p>
      <w:pPr>
        <w:spacing w:line="600" w:lineRule="exact"/>
        <w:ind w:firstLine="640" w:firstLineChars="200"/>
        <w:rPr>
          <w:rFonts w:ascii="仿宋_GB2312" w:hAnsi="仿宋" w:eastAsia="仿宋_GB2312" w:cs="宋体"/>
          <w:color w:val="auto"/>
          <w:kern w:val="0"/>
          <w:sz w:val="32"/>
          <w:szCs w:val="32"/>
        </w:rPr>
      </w:pPr>
    </w:p>
    <w:p>
      <w:pPr>
        <w:spacing w:line="600" w:lineRule="exact"/>
        <w:rPr>
          <w:rFonts w:ascii="仿宋_GB2312" w:hAnsi="仿宋" w:eastAsia="仿宋_GB2312" w:cs="宋体"/>
          <w:b/>
          <w:color w:val="auto"/>
          <w:kern w:val="0"/>
          <w:sz w:val="32"/>
          <w:szCs w:val="32"/>
        </w:rPr>
      </w:pPr>
    </w:p>
    <w:p>
      <w:pPr>
        <w:spacing w:line="600" w:lineRule="exact"/>
        <w:ind w:firstLine="643" w:firstLineChars="200"/>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br w:type="page"/>
      </w:r>
      <w:r>
        <w:rPr>
          <w:rFonts w:hint="eastAsia" w:ascii="仿宋_GB2312" w:hAnsi="仿宋" w:eastAsia="仿宋_GB2312" w:cs="宋体"/>
          <w:b/>
          <w:color w:val="auto"/>
          <w:kern w:val="0"/>
          <w:sz w:val="32"/>
          <w:szCs w:val="32"/>
        </w:rPr>
        <w:t>六、教育培训5分</w:t>
      </w:r>
    </w:p>
    <w:tbl>
      <w:tblPr>
        <w:tblStyle w:val="6"/>
        <w:tblW w:w="95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gridCol w:w="666"/>
        <w:gridCol w:w="666"/>
        <w:gridCol w:w="66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8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评定内容及标准</w:t>
            </w:r>
          </w:p>
        </w:tc>
        <w:tc>
          <w:tcPr>
            <w:tcW w:w="6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自</w:t>
            </w:r>
          </w:p>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评</w:t>
            </w:r>
          </w:p>
        </w:tc>
        <w:tc>
          <w:tcPr>
            <w:tcW w:w="6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初</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评</w:t>
            </w:r>
          </w:p>
        </w:tc>
        <w:tc>
          <w:tcPr>
            <w:tcW w:w="6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w:t>
            </w:r>
          </w:p>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w:t>
            </w:r>
          </w:p>
        </w:tc>
        <w:tc>
          <w:tcPr>
            <w:tcW w:w="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企业主要负责人、项目负责人、专职安全生产管理人员、“关键岗位人员”、作业人员或者特种作业人员，未经安全教育培训或者未经考核合格即从事相关工作，每人每次扣0.2分。</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企业未建立安全生产“三级教育”制度或教育落实不到位的，扣2分；无年度培训计划的，扣1分；无培训记录的，扣1分。</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不积极组织参加各级行政主管部门或行业协会组织的各类培训活动的，每次扣0.5分。</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cs="宋体"/>
                <w:color w:val="auto"/>
                <w:kern w:val="0"/>
                <w:szCs w:val="21"/>
              </w:rPr>
            </w:pPr>
            <w:r>
              <w:rPr>
                <w:rFonts w:hint="eastAsia" w:ascii="仿宋_GB2312" w:hAnsi="仿宋" w:eastAsia="仿宋_GB2312" w:cs="宋体"/>
                <w:color w:val="auto"/>
                <w:kern w:val="0"/>
                <w:szCs w:val="21"/>
              </w:rPr>
              <w:t>小计</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c>
          <w:tcPr>
            <w:tcW w:w="666"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bl>
    <w:p>
      <w:pPr>
        <w:pStyle w:val="5"/>
        <w:spacing w:before="0" w:beforeAutospacing="0" w:after="0" w:afterAutospacing="0" w:line="600" w:lineRule="exact"/>
        <w:jc w:val="both"/>
        <w:rPr>
          <w:rFonts w:ascii="仿宋_GB2312" w:hAnsi="仿宋" w:eastAsia="仿宋_GB2312"/>
          <w:color w:val="auto"/>
          <w:sz w:val="32"/>
          <w:szCs w:val="32"/>
        </w:rPr>
      </w:pPr>
    </w:p>
    <w:p>
      <w:pPr>
        <w:pStyle w:val="5"/>
        <w:spacing w:before="0" w:beforeAutospacing="0" w:after="0" w:afterAutospacing="0" w:line="600" w:lineRule="exact"/>
        <w:jc w:val="both"/>
        <w:rPr>
          <w:rFonts w:ascii="仿宋_GB2312" w:hAnsi="仿宋" w:eastAsia="仿宋_GB2312"/>
          <w:b/>
          <w:color w:val="auto"/>
          <w:sz w:val="32"/>
          <w:szCs w:val="32"/>
        </w:rPr>
      </w:pPr>
      <w:r>
        <w:rPr>
          <w:rFonts w:hint="eastAsia" w:ascii="仿宋_GB2312" w:hAnsi="仿宋" w:eastAsia="仿宋_GB2312"/>
          <w:b/>
          <w:color w:val="auto"/>
          <w:sz w:val="32"/>
          <w:szCs w:val="32"/>
        </w:rPr>
        <w:br w:type="page"/>
      </w:r>
      <w:r>
        <w:rPr>
          <w:rFonts w:hint="eastAsia" w:ascii="仿宋_GB2312" w:hAnsi="仿宋" w:eastAsia="仿宋_GB2312"/>
          <w:b/>
          <w:color w:val="auto"/>
          <w:sz w:val="32"/>
          <w:szCs w:val="32"/>
        </w:rPr>
        <w:t>七、其他应予直接认定情形</w:t>
      </w:r>
    </w:p>
    <w:tbl>
      <w:tblPr>
        <w:tblStyle w:val="6"/>
        <w:tblW w:w="917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0"/>
        <w:gridCol w:w="1681"/>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172" w:type="dxa"/>
            <w:gridSpan w:val="3"/>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1、企业有如下获奖情形的，诚信评价等级直接实时认定为AAA级：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810" w:type="dxa"/>
          </w:tcPr>
          <w:p>
            <w:pPr>
              <w:pStyle w:val="5"/>
              <w:spacing w:before="0" w:beforeAutospacing="0" w:after="0" w:afterAutospacing="0" w:line="600" w:lineRule="exact"/>
              <w:ind w:firstLine="422" w:firstLineChars="200"/>
              <w:jc w:val="both"/>
              <w:rPr>
                <w:rFonts w:ascii="仿宋_GB2312" w:hAnsi="仿宋" w:eastAsia="仿宋_GB2312" w:cs="Times New Roman"/>
                <w:color w:val="auto"/>
                <w:sz w:val="21"/>
                <w:szCs w:val="21"/>
              </w:rPr>
            </w:pPr>
            <w:r>
              <w:rPr>
                <w:rFonts w:hint="eastAsia" w:ascii="仿宋_GB2312" w:hAnsi="仿宋" w:eastAsia="仿宋_GB2312" w:cs="仿宋_GB2312"/>
                <w:b/>
                <w:bCs/>
                <w:color w:val="auto"/>
                <w:sz w:val="21"/>
                <w:szCs w:val="21"/>
                <w:lang w:val="zh-CN"/>
              </w:rPr>
              <w:t>评定内容</w:t>
            </w:r>
          </w:p>
        </w:tc>
        <w:tc>
          <w:tcPr>
            <w:tcW w:w="1681" w:type="dxa"/>
          </w:tcPr>
          <w:p>
            <w:pPr>
              <w:pStyle w:val="5"/>
              <w:spacing w:before="0" w:beforeAutospacing="0" w:after="0" w:afterAutospacing="0" w:line="600" w:lineRule="exact"/>
              <w:jc w:val="both"/>
              <w:rPr>
                <w:rFonts w:ascii="仿宋_GB2312" w:hAnsi="仿宋" w:eastAsia="仿宋_GB2312"/>
                <w:b/>
                <w:color w:val="auto"/>
                <w:sz w:val="21"/>
                <w:szCs w:val="21"/>
              </w:rPr>
            </w:pPr>
            <w:r>
              <w:rPr>
                <w:rFonts w:hint="eastAsia" w:ascii="仿宋_GB2312" w:hAnsi="仿宋" w:eastAsia="仿宋_GB2312"/>
                <w:b/>
                <w:color w:val="auto"/>
                <w:sz w:val="21"/>
                <w:szCs w:val="21"/>
              </w:rPr>
              <w:t>自评情况</w:t>
            </w:r>
          </w:p>
        </w:tc>
        <w:tc>
          <w:tcPr>
            <w:tcW w:w="1681" w:type="dxa"/>
          </w:tcPr>
          <w:p>
            <w:pPr>
              <w:pStyle w:val="5"/>
              <w:spacing w:before="0" w:beforeAutospacing="0" w:after="0" w:afterAutospacing="0" w:line="600" w:lineRule="exact"/>
              <w:jc w:val="both"/>
              <w:rPr>
                <w:rFonts w:ascii="仿宋_GB2312" w:hAnsi="仿宋" w:eastAsia="仿宋_GB2312"/>
                <w:b/>
                <w:color w:val="auto"/>
                <w:sz w:val="21"/>
                <w:szCs w:val="21"/>
              </w:rPr>
            </w:pPr>
            <w:r>
              <w:rPr>
                <w:rFonts w:hint="eastAsia" w:ascii="仿宋_GB2312" w:hAnsi="仿宋" w:eastAsia="仿宋_GB2312"/>
                <w:b/>
                <w:color w:val="auto"/>
                <w:sz w:val="21"/>
                <w:szCs w:val="21"/>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ascii="仿宋_GB2312" w:hAnsi="仿宋" w:eastAsia="仿宋_GB2312"/>
                <w:color w:val="auto"/>
                <w:sz w:val="21"/>
                <w:szCs w:val="21"/>
              </w:rPr>
            </w:pPr>
            <w:r>
              <w:rPr>
                <w:rFonts w:hint="eastAsia" w:ascii="仿宋_GB2312" w:eastAsia="仿宋_GB2312"/>
                <w:color w:val="auto"/>
                <w:sz w:val="21"/>
                <w:szCs w:val="21"/>
              </w:rPr>
              <w:t>考核期内企业无违法违规行为、未受到邵阳市行政主管部门严重不良行为处罚的并近两年在邵阳市行政区内项目或本市企业外拓工程获一个及以上鲁班奖或两个及以上芙蓉奖的。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bl>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仿宋_GB2312" w:hAnsi="仿宋" w:eastAsia="仿宋_GB2312" w:cs="宋体"/>
          <w:color w:val="auto"/>
          <w:kern w:val="0"/>
          <w:szCs w:val="21"/>
        </w:rPr>
      </w:pPr>
      <w:r>
        <w:rPr>
          <w:rFonts w:hint="eastAsia" w:ascii="仿宋_GB2312" w:hAnsi="仿宋" w:eastAsia="仿宋_GB2312" w:cs="宋体"/>
          <w:color w:val="auto"/>
          <w:kern w:val="0"/>
          <w:szCs w:val="21"/>
        </w:rPr>
        <w:t>说明：1.</w:t>
      </w:r>
      <w:r>
        <w:rPr>
          <w:rFonts w:hint="eastAsia" w:ascii="仿宋_GB2312" w:eastAsia="仿宋_GB2312"/>
          <w:color w:val="auto"/>
          <w:szCs w:val="21"/>
        </w:rPr>
        <w:t xml:space="preserve"> 邵阳市行政区内项目</w:t>
      </w:r>
      <w:r>
        <w:rPr>
          <w:rFonts w:hint="eastAsia" w:ascii="仿宋_GB2312" w:hAnsi="仿宋" w:eastAsia="仿宋_GB2312" w:cs="宋体"/>
          <w:color w:val="auto"/>
          <w:kern w:val="0"/>
          <w:szCs w:val="21"/>
        </w:rPr>
        <w:t>及本市企业外拓工程获省外类似湖南省优质工程奖、芙蓉奖的，提供相关证明材料；</w:t>
      </w:r>
    </w:p>
    <w:p>
      <w:pPr>
        <w:keepNext w:val="0"/>
        <w:keepLines w:val="0"/>
        <w:pageBreakBefore w:val="0"/>
        <w:widowControl w:val="0"/>
        <w:kinsoku/>
        <w:wordWrap/>
        <w:overflowPunct/>
        <w:topLinePunct w:val="0"/>
        <w:autoSpaceDE/>
        <w:autoSpaceDN/>
        <w:bidi w:val="0"/>
        <w:adjustRightInd/>
        <w:snapToGrid/>
        <w:spacing w:line="320" w:lineRule="exact"/>
        <w:ind w:firstLine="1050" w:firstLineChars="500"/>
        <w:textAlignment w:val="auto"/>
        <w:rPr>
          <w:rFonts w:ascii="仿宋_GB2312" w:hAnsi="仿宋" w:eastAsia="仿宋_GB2312" w:cs="宋体"/>
          <w:color w:val="auto"/>
          <w:kern w:val="0"/>
          <w:szCs w:val="21"/>
        </w:rPr>
      </w:pPr>
      <w:r>
        <w:rPr>
          <w:rFonts w:hint="eastAsia" w:ascii="仿宋_GB2312" w:hAnsi="仿宋" w:eastAsia="仿宋_GB2312" w:cs="宋体"/>
          <w:color w:val="auto"/>
          <w:kern w:val="0"/>
          <w:szCs w:val="21"/>
        </w:rPr>
        <w:t>2.外市企业所创的市、省、国家级优质工程都必须在我市行政规划区内。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 w:eastAsia="仿宋_GB2312"/>
          <w:color w:val="auto"/>
          <w:szCs w:val="21"/>
        </w:rPr>
      </w:pPr>
    </w:p>
    <w:tbl>
      <w:tblPr>
        <w:tblStyle w:val="6"/>
        <w:tblW w:w="917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0"/>
        <w:gridCol w:w="1681"/>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72" w:type="dxa"/>
            <w:gridSpan w:val="3"/>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2、企业有下列情形之一的，信用评价等级直接认定为B级：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2" w:firstLineChars="200"/>
              <w:jc w:val="both"/>
              <w:rPr>
                <w:rFonts w:ascii="仿宋_GB2312" w:hAnsi="仿宋" w:eastAsia="仿宋_GB2312" w:cs="Times New Roman"/>
                <w:color w:val="auto"/>
                <w:sz w:val="21"/>
                <w:szCs w:val="21"/>
              </w:rPr>
            </w:pPr>
            <w:r>
              <w:rPr>
                <w:rFonts w:hint="eastAsia" w:ascii="仿宋_GB2312" w:hAnsi="仿宋" w:eastAsia="仿宋_GB2312" w:cs="仿宋_GB2312"/>
                <w:b/>
                <w:bCs/>
                <w:color w:val="auto"/>
                <w:sz w:val="21"/>
                <w:szCs w:val="21"/>
                <w:lang w:val="zh-CN"/>
              </w:rPr>
              <w:t>评定内容</w:t>
            </w:r>
          </w:p>
        </w:tc>
        <w:tc>
          <w:tcPr>
            <w:tcW w:w="1681" w:type="dxa"/>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自评情况</w:t>
            </w:r>
          </w:p>
        </w:tc>
        <w:tc>
          <w:tcPr>
            <w:tcW w:w="1681" w:type="dxa"/>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ascii="仿宋_GB2312" w:hAnsi="仿宋" w:eastAsia="仿宋_GB2312"/>
                <w:color w:val="auto"/>
                <w:sz w:val="21"/>
                <w:szCs w:val="21"/>
              </w:rPr>
            </w:pPr>
            <w:r>
              <w:rPr>
                <w:rFonts w:hint="eastAsia" w:ascii="仿宋_GB2312" w:hAnsi="仿宋" w:eastAsia="仿宋_GB2312"/>
                <w:color w:val="auto"/>
                <w:sz w:val="21"/>
                <w:szCs w:val="21"/>
              </w:rPr>
              <w:t>在招投标活动中认定一次及以上有围标串标、买标卖标行为，骗领投标保证金行为，以他人名义投标、挂靠企业资质或以其他方式弄虚作假骗取中标等行为的。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eastAsia" w:ascii="仿宋_GB2312" w:hAnsi="仿宋" w:eastAsia="仿宋_GB2312"/>
                <w:color w:val="auto"/>
                <w:sz w:val="21"/>
                <w:szCs w:val="21"/>
                <w:lang w:eastAsia="zh-CN"/>
              </w:rPr>
            </w:pPr>
            <w:r>
              <w:rPr>
                <w:rFonts w:hint="eastAsia" w:ascii="仿宋_GB2312" w:hAnsi="仿宋" w:eastAsia="仿宋_GB2312"/>
                <w:color w:val="auto"/>
                <w:sz w:val="21"/>
                <w:szCs w:val="21"/>
              </w:rPr>
              <w:t>企业安全生产许可证过期或企业资质动态考核不合格或企业安全认证考核不合格的</w:t>
            </w:r>
            <w:r>
              <w:rPr>
                <w:rFonts w:hint="eastAsia" w:ascii="仿宋_GB2312" w:hAnsi="仿宋" w:eastAsia="仿宋_GB2312"/>
                <w:color w:val="auto"/>
                <w:sz w:val="21"/>
                <w:szCs w:val="21"/>
                <w:lang w:eastAsia="zh-CN"/>
              </w:rPr>
              <w:t>。</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ascii="仿宋_GB2312" w:hAnsi="仿宋" w:eastAsia="仿宋_GB2312"/>
                <w:color w:val="auto"/>
                <w:sz w:val="21"/>
                <w:szCs w:val="21"/>
              </w:rPr>
            </w:pPr>
            <w:r>
              <w:rPr>
                <w:rFonts w:hint="eastAsia" w:ascii="仿宋_GB2312" w:hAnsi="仿宋" w:eastAsia="仿宋_GB2312"/>
                <w:color w:val="auto"/>
                <w:sz w:val="21"/>
                <w:szCs w:val="21"/>
              </w:rPr>
              <w:t>申报资料或证明材料弄虚作假被查实的。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eastAsia" w:ascii="仿宋_GB2312" w:hAnsi="仿宋" w:eastAsia="仿宋_GB2312"/>
                <w:color w:val="auto"/>
                <w:sz w:val="21"/>
                <w:szCs w:val="21"/>
                <w:lang w:eastAsia="zh-CN"/>
              </w:rPr>
            </w:pPr>
            <w:r>
              <w:rPr>
                <w:rFonts w:ascii="仿宋_GB2312" w:hAnsi="仿宋" w:eastAsia="仿宋_GB2312"/>
                <w:color w:val="auto"/>
                <w:sz w:val="21"/>
                <w:szCs w:val="21"/>
              </w:rPr>
              <w:t>年度内发生一般及以上或经济损失</w:t>
            </w:r>
            <w:r>
              <w:rPr>
                <w:rFonts w:hint="eastAsia" w:ascii="仿宋_GB2312" w:hAnsi="仿宋" w:eastAsia="仿宋_GB2312"/>
                <w:color w:val="auto"/>
                <w:sz w:val="21"/>
                <w:szCs w:val="21"/>
              </w:rPr>
              <w:t>100万元以上安全事故的</w:t>
            </w:r>
            <w:r>
              <w:rPr>
                <w:rFonts w:hint="eastAsia" w:ascii="仿宋_GB2312" w:hAnsi="仿宋" w:eastAsia="仿宋_GB2312"/>
                <w:color w:val="auto"/>
                <w:sz w:val="21"/>
                <w:szCs w:val="21"/>
                <w:lang w:eastAsia="zh-CN"/>
              </w:rPr>
              <w:t>。</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ascii="仿宋_GB2312" w:hAnsi="仿宋" w:eastAsia="仿宋_GB2312"/>
                <w:color w:val="auto"/>
                <w:sz w:val="21"/>
                <w:szCs w:val="21"/>
              </w:rPr>
            </w:pPr>
            <w:r>
              <w:rPr>
                <w:rFonts w:hint="eastAsia" w:ascii="仿宋_GB2312" w:hAnsi="仿宋" w:eastAsia="仿宋_GB2312"/>
                <w:color w:val="auto"/>
                <w:sz w:val="21"/>
                <w:szCs w:val="21"/>
              </w:rPr>
              <w:t>拒不履行或拖延履行工程质量保修义务的。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ascii="仿宋_GB2312" w:hAnsi="仿宋" w:eastAsia="仿宋_GB2312" w:cs="Times New Roman"/>
                <w:color w:val="auto"/>
                <w:sz w:val="21"/>
                <w:szCs w:val="21"/>
              </w:rPr>
            </w:pPr>
            <w:r>
              <w:rPr>
                <w:rFonts w:hint="eastAsia" w:ascii="仿宋_GB2312" w:hAnsi="仿宋" w:eastAsia="仿宋_GB2312"/>
                <w:color w:val="auto"/>
                <w:sz w:val="21"/>
                <w:szCs w:val="21"/>
              </w:rPr>
              <w:t>发生直接经济损失100万元以上质量事故的。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bl>
    <w:p>
      <w:pPr>
        <w:spacing w:line="600" w:lineRule="exact"/>
        <w:rPr>
          <w:rFonts w:ascii="仿宋_GB2312" w:hAnsi="仿宋" w:eastAsia="仿宋_GB2312" w:cs="宋体"/>
          <w:color w:val="auto"/>
          <w:kern w:val="0"/>
          <w:szCs w:val="21"/>
        </w:rPr>
      </w:pPr>
    </w:p>
    <w:tbl>
      <w:tblPr>
        <w:tblStyle w:val="6"/>
        <w:tblW w:w="917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0"/>
        <w:gridCol w:w="1681"/>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72" w:type="dxa"/>
            <w:gridSpan w:val="3"/>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3、企业有下列情形之一的，信用评价等级实时降一级：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2" w:firstLineChars="200"/>
              <w:jc w:val="both"/>
              <w:rPr>
                <w:rFonts w:ascii="仿宋_GB2312" w:hAnsi="仿宋" w:eastAsia="仿宋_GB2312" w:cs="Times New Roman"/>
                <w:color w:val="auto"/>
                <w:sz w:val="21"/>
                <w:szCs w:val="21"/>
              </w:rPr>
            </w:pPr>
            <w:r>
              <w:rPr>
                <w:rFonts w:hint="eastAsia" w:ascii="仿宋_GB2312" w:hAnsi="仿宋" w:eastAsia="仿宋_GB2312" w:cs="仿宋_GB2312"/>
                <w:b/>
                <w:bCs/>
                <w:color w:val="auto"/>
                <w:sz w:val="21"/>
                <w:szCs w:val="21"/>
                <w:lang w:val="zh-CN"/>
              </w:rPr>
              <w:t>评定内容</w:t>
            </w:r>
          </w:p>
        </w:tc>
        <w:tc>
          <w:tcPr>
            <w:tcW w:w="1681" w:type="dxa"/>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自评情况</w:t>
            </w:r>
          </w:p>
        </w:tc>
        <w:tc>
          <w:tcPr>
            <w:tcW w:w="1681" w:type="dxa"/>
          </w:tcPr>
          <w:p>
            <w:pPr>
              <w:pStyle w:val="5"/>
              <w:spacing w:before="0" w:beforeAutospacing="0" w:after="0" w:afterAutospacing="0" w:line="600" w:lineRule="exact"/>
              <w:ind w:firstLine="422" w:firstLineChars="200"/>
              <w:jc w:val="both"/>
              <w:rPr>
                <w:rFonts w:ascii="仿宋_GB2312" w:hAnsi="仿宋" w:eastAsia="仿宋_GB2312"/>
                <w:b/>
                <w:color w:val="auto"/>
                <w:sz w:val="21"/>
                <w:szCs w:val="21"/>
              </w:rPr>
            </w:pPr>
            <w:r>
              <w:rPr>
                <w:rFonts w:hint="eastAsia" w:ascii="仿宋_GB2312" w:hAnsi="仿宋" w:eastAsia="仿宋_GB2312"/>
                <w:b/>
                <w:color w:val="auto"/>
                <w:sz w:val="21"/>
                <w:szCs w:val="21"/>
              </w:rPr>
              <w:t>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s="Times New Roman"/>
                <w:color w:val="auto"/>
                <w:sz w:val="21"/>
                <w:szCs w:val="21"/>
              </w:rPr>
              <w:t>因企业自身原因发生拖欠农民工工资等严重影响社会稳定的恶性群体性事件，</w:t>
            </w:r>
            <w:r>
              <w:rPr>
                <w:rFonts w:hint="eastAsia" w:ascii="仿宋_GB2312" w:hAnsi="仿宋" w:eastAsia="仿宋_GB2312"/>
                <w:color w:val="auto"/>
                <w:sz w:val="21"/>
                <w:szCs w:val="21"/>
              </w:rPr>
              <w:t>被县级及以上人民政府或建设行政主管部门通报</w:t>
            </w:r>
            <w:r>
              <w:rPr>
                <w:rFonts w:hint="eastAsia" w:ascii="仿宋_GB2312" w:hAnsi="仿宋" w:eastAsia="仿宋_GB2312" w:cs="Times New Roman"/>
                <w:color w:val="auto"/>
                <w:sz w:val="21"/>
                <w:szCs w:val="21"/>
              </w:rPr>
              <w:t>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s="Times New Roman"/>
                <w:color w:val="auto"/>
                <w:sz w:val="21"/>
                <w:szCs w:val="21"/>
              </w:rPr>
              <w:t>发生安全生产事故或因发生安全生产事故造成人员受伤、财产损失等恶劣社会影响的。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发生重大质量事故或因施工质量问题引起群众集体投诉上访，造成恶劣社会影响的。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拒不配合行业主管部门的监督检查或主管部门下发的停工整改通知书、行政处罚决定书的，情节严重被主管部门通报的。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企业年内被记两次严重不良行为记录的。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10" w:type="dxa"/>
          </w:tcPr>
          <w:p>
            <w:pPr>
              <w:pStyle w:val="5"/>
              <w:spacing w:before="0" w:beforeAutospacing="0" w:after="0" w:afterAutospacing="0" w:line="600" w:lineRule="exact"/>
              <w:ind w:firstLine="420" w:firstLineChars="200"/>
              <w:jc w:val="both"/>
              <w:rPr>
                <w:rFonts w:ascii="仿宋_GB2312" w:hAnsi="仿宋" w:eastAsia="仿宋_GB2312" w:cs="Times New Roman"/>
                <w:color w:val="auto"/>
                <w:sz w:val="21"/>
                <w:szCs w:val="21"/>
              </w:rPr>
            </w:pPr>
            <w:r>
              <w:rPr>
                <w:rFonts w:hint="eastAsia" w:ascii="仿宋_GB2312" w:hAnsi="仿宋" w:eastAsia="仿宋_GB2312"/>
                <w:color w:val="auto"/>
                <w:sz w:val="21"/>
                <w:szCs w:val="21"/>
              </w:rPr>
              <w:t>认定一次及以上出让资质、转包、挂靠行为的。</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c>
          <w:tcPr>
            <w:tcW w:w="1681" w:type="dxa"/>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□有</w:t>
            </w:r>
          </w:p>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□无</w:t>
            </w:r>
          </w:p>
        </w:tc>
      </w:tr>
    </w:tbl>
    <w:p>
      <w:pPr>
        <w:spacing w:line="600" w:lineRule="exact"/>
        <w:rPr>
          <w:rFonts w:ascii="仿宋_GB2312" w:hAnsi="仿宋" w:eastAsia="仿宋_GB2312" w:cs="宋体"/>
          <w:color w:val="auto"/>
          <w:kern w:val="0"/>
          <w:szCs w:val="21"/>
        </w:rPr>
      </w:pPr>
    </w:p>
    <w:p>
      <w:pPr>
        <w:spacing w:line="600" w:lineRule="exact"/>
        <w:rPr>
          <w:rFonts w:ascii="仿宋_GB2312" w:hAnsi="仿宋" w:eastAsia="仿宋_GB2312" w:cs="宋体"/>
          <w:color w:val="auto"/>
          <w:kern w:val="0"/>
          <w:szCs w:val="21"/>
        </w:rPr>
      </w:pPr>
    </w:p>
    <w:p>
      <w:pPr>
        <w:spacing w:line="600" w:lineRule="exact"/>
        <w:rPr>
          <w:rFonts w:ascii="仿宋_GB2312" w:hAnsi="仿宋" w:eastAsia="仿宋_GB2312" w:cs="宋体"/>
          <w:color w:val="auto"/>
          <w:kern w:val="0"/>
          <w:szCs w:val="21"/>
        </w:rPr>
      </w:pPr>
    </w:p>
    <w:p>
      <w:pPr>
        <w:spacing w:line="600" w:lineRule="exact"/>
        <w:rPr>
          <w:rFonts w:ascii="仿宋_GB2312" w:hAnsi="仿宋" w:eastAsia="仿宋_GB2312" w:cs="宋体"/>
          <w:color w:val="auto"/>
          <w:kern w:val="0"/>
          <w:szCs w:val="21"/>
        </w:rPr>
      </w:pPr>
    </w:p>
    <w:p>
      <w:pPr>
        <w:spacing w:line="600" w:lineRule="exact"/>
        <w:rPr>
          <w:rFonts w:ascii="仿宋_GB2312" w:hAnsi="仿宋" w:eastAsia="仿宋_GB2312" w:cs="宋体"/>
          <w:color w:val="auto"/>
          <w:kern w:val="0"/>
          <w:sz w:val="32"/>
          <w:szCs w:val="32"/>
        </w:rPr>
      </w:pPr>
      <w:r>
        <w:rPr>
          <w:rFonts w:hint="eastAsia" w:ascii="仿宋_GB2312" w:hAnsi="仿宋" w:eastAsia="仿宋_GB2312" w:cs="宋体"/>
          <w:b/>
          <w:color w:val="auto"/>
          <w:kern w:val="0"/>
          <w:sz w:val="32"/>
          <w:szCs w:val="32"/>
        </w:rPr>
        <w:br w:type="page"/>
      </w:r>
      <w:r>
        <w:rPr>
          <w:rFonts w:hint="eastAsia" w:ascii="仿宋_GB2312" w:hAnsi="仿宋" w:eastAsia="仿宋_GB2312" w:cs="宋体"/>
          <w:b/>
          <w:color w:val="auto"/>
          <w:kern w:val="0"/>
          <w:sz w:val="32"/>
          <w:szCs w:val="32"/>
        </w:rPr>
        <w:t>八、邵阳市建筑施工企业信用等级评定评分汇总表</w:t>
      </w:r>
    </w:p>
    <w:p>
      <w:pPr>
        <w:spacing w:line="600" w:lineRule="exact"/>
        <w:ind w:firstLine="640" w:firstLineChars="200"/>
        <w:rPr>
          <w:rFonts w:hint="eastAsia" w:ascii="仿宋_GB2312" w:hAnsi="仿宋" w:eastAsia="仿宋_GB2312" w:cs="宋体"/>
          <w:color w:val="auto"/>
          <w:kern w:val="0"/>
          <w:sz w:val="32"/>
          <w:szCs w:val="32"/>
          <w:u w:val="single"/>
          <w:lang w:val="en-US" w:eastAsia="zh-CN"/>
        </w:rPr>
      </w:pPr>
      <w:r>
        <w:rPr>
          <w:rFonts w:hint="eastAsia" w:ascii="仿宋_GB2312" w:hAnsi="仿宋" w:eastAsia="仿宋_GB2312" w:cs="宋体"/>
          <w:color w:val="auto"/>
          <w:kern w:val="0"/>
          <w:sz w:val="32"/>
          <w:szCs w:val="32"/>
        </w:rPr>
        <w:t>申报企业：</w:t>
      </w:r>
      <w:r>
        <w:rPr>
          <w:rFonts w:hint="eastAsia" w:ascii="仿宋_GB2312" w:hAnsi="仿宋" w:eastAsia="仿宋_GB2312" w:cs="宋体"/>
          <w:color w:val="auto"/>
          <w:kern w:val="0"/>
          <w:sz w:val="32"/>
          <w:szCs w:val="32"/>
          <w:u w:val="single"/>
          <w:lang w:val="en-US" w:eastAsia="zh-CN"/>
        </w:rPr>
        <w:t xml:space="preserve">                  </w:t>
      </w:r>
    </w:p>
    <w:p>
      <w:pPr>
        <w:pStyle w:val="2"/>
        <w:rPr>
          <w:rFonts w:hint="default"/>
          <w:color w:val="auto"/>
          <w:lang w:val="en-US" w:eastAsia="zh-CN"/>
        </w:rPr>
      </w:pPr>
    </w:p>
    <w:tbl>
      <w:tblPr>
        <w:tblStyle w:val="6"/>
        <w:tblW w:w="5131"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7"/>
        <w:gridCol w:w="1348"/>
        <w:gridCol w:w="1466"/>
        <w:gridCol w:w="75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7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b/>
                <w:bCs/>
                <w:color w:val="auto"/>
                <w:szCs w:val="21"/>
              </w:rPr>
            </w:pPr>
            <w:r>
              <w:rPr>
                <w:rFonts w:hint="eastAsia" w:ascii="仿宋_GB2312" w:hAnsi="仿宋" w:eastAsia="仿宋_GB2312" w:cs="仿宋_GB2312"/>
                <w:b/>
                <w:bCs/>
                <w:color w:val="auto"/>
                <w:szCs w:val="21"/>
                <w:lang w:val="zh-CN"/>
              </w:rPr>
              <w:t>名 称</w:t>
            </w:r>
          </w:p>
        </w:tc>
        <w:tc>
          <w:tcPr>
            <w:tcW w:w="77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cs="仿宋_GB2312"/>
                <w:b/>
                <w:bCs/>
                <w:color w:val="auto"/>
                <w:szCs w:val="21"/>
                <w:lang w:val="zh-CN"/>
              </w:rPr>
              <w:t>分 值</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rPr>
                <w:rFonts w:ascii="仿宋_GB2312" w:hAnsi="仿宋" w:eastAsia="仿宋_GB2312"/>
                <w:b/>
                <w:bCs/>
                <w:color w:val="auto"/>
                <w:szCs w:val="21"/>
              </w:rPr>
            </w:pPr>
            <w:r>
              <w:rPr>
                <w:rFonts w:hint="eastAsia" w:ascii="仿宋_GB2312" w:hAnsi="仿宋" w:eastAsia="仿宋_GB2312"/>
                <w:b/>
                <w:bCs/>
                <w:color w:val="auto"/>
                <w:szCs w:val="21"/>
              </w:rPr>
              <w:t>评 定 得 分</w:t>
            </w:r>
          </w:p>
        </w:tc>
        <w:tc>
          <w:tcPr>
            <w:tcW w:w="117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600" w:lineRule="exact"/>
              <w:ind w:firstLine="422" w:firstLineChars="200"/>
              <w:rPr>
                <w:rFonts w:ascii="仿宋_GB2312" w:hAnsi="仿宋" w:eastAsia="仿宋_GB2312" w:cs="仿宋_GB2312"/>
                <w:b/>
                <w:bCs/>
                <w:color w:val="auto"/>
                <w:szCs w:val="21"/>
                <w:lang w:val="zh-CN"/>
              </w:rPr>
            </w:pPr>
            <w:r>
              <w:rPr>
                <w:rFonts w:hint="eastAsia" w:ascii="仿宋_GB2312" w:hAnsi="仿宋" w:eastAsia="仿宋_GB2312" w:cs="仿宋_GB2312"/>
                <w:b/>
                <w:bCs/>
                <w:color w:val="auto"/>
                <w:szCs w:val="21"/>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企业内部各项管理保障体系</w:t>
            </w:r>
          </w:p>
        </w:tc>
        <w:tc>
          <w:tcPr>
            <w:tcW w:w="771"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600" w:lineRule="exact"/>
              <w:jc w:val="both"/>
              <w:rPr>
                <w:rFonts w:ascii="仿宋_GB2312" w:hAnsi="仿宋" w:eastAsia="仿宋_GB2312"/>
                <w:color w:val="auto"/>
                <w:sz w:val="21"/>
                <w:szCs w:val="21"/>
              </w:rPr>
            </w:pPr>
            <w:r>
              <w:rPr>
                <w:rFonts w:hint="eastAsia" w:ascii="仿宋_GB2312" w:hAnsi="仿宋" w:eastAsia="仿宋_GB2312"/>
                <w:color w:val="auto"/>
                <w:sz w:val="21"/>
                <w:szCs w:val="21"/>
              </w:rPr>
              <w:t>17分</w:t>
            </w:r>
          </w:p>
        </w:tc>
        <w:tc>
          <w:tcPr>
            <w:tcW w:w="1271" w:type="pct"/>
            <w:gridSpan w:val="2"/>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782"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600" w:lineRule="exact"/>
              <w:ind w:firstLine="420" w:firstLineChars="200"/>
              <w:jc w:val="both"/>
              <w:rPr>
                <w:rFonts w:ascii="仿宋_GB2312" w:hAnsi="仿宋" w:eastAsia="仿宋_GB2312"/>
                <w:color w:val="auto"/>
                <w:sz w:val="21"/>
                <w:szCs w:val="21"/>
              </w:rPr>
            </w:pPr>
            <w:r>
              <w:rPr>
                <w:rFonts w:hint="eastAsia" w:ascii="仿宋_GB2312" w:hAnsi="仿宋" w:eastAsia="仿宋_GB2312"/>
                <w:color w:val="auto"/>
                <w:sz w:val="21"/>
                <w:szCs w:val="21"/>
              </w:rPr>
              <w:t>社会职责</w:t>
            </w:r>
          </w:p>
        </w:tc>
        <w:tc>
          <w:tcPr>
            <w:tcW w:w="771"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600" w:lineRule="exact"/>
              <w:jc w:val="both"/>
              <w:rPr>
                <w:rFonts w:ascii="仿宋_GB2312" w:hAnsi="仿宋" w:eastAsia="仿宋_GB2312"/>
                <w:color w:val="auto"/>
                <w:sz w:val="21"/>
                <w:szCs w:val="21"/>
              </w:rPr>
            </w:pPr>
            <w:r>
              <w:rPr>
                <w:rFonts w:hint="eastAsia" w:ascii="仿宋_GB2312" w:hAnsi="仿宋" w:eastAsia="仿宋_GB2312"/>
                <w:color w:val="auto"/>
                <w:sz w:val="21"/>
                <w:szCs w:val="21"/>
              </w:rPr>
              <w:t>8分</w:t>
            </w:r>
          </w:p>
        </w:tc>
        <w:tc>
          <w:tcPr>
            <w:tcW w:w="1271" w:type="pct"/>
            <w:gridSpan w:val="2"/>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建筑工程质量、安全生产管理</w:t>
            </w:r>
          </w:p>
        </w:tc>
        <w:tc>
          <w:tcPr>
            <w:tcW w:w="771"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600" w:lineRule="exact"/>
              <w:jc w:val="both"/>
              <w:rPr>
                <w:rFonts w:ascii="仿宋_GB2312" w:hAnsi="仿宋" w:eastAsia="仿宋_GB2312"/>
                <w:color w:val="auto"/>
                <w:sz w:val="21"/>
                <w:szCs w:val="21"/>
              </w:rPr>
            </w:pPr>
            <w:r>
              <w:rPr>
                <w:rFonts w:hint="eastAsia" w:ascii="仿宋_GB2312" w:hAnsi="仿宋" w:eastAsia="仿宋_GB2312"/>
                <w:color w:val="auto"/>
                <w:sz w:val="21"/>
                <w:szCs w:val="21"/>
              </w:rPr>
              <w:t>43分</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s="宋体"/>
                <w:color w:val="auto"/>
                <w:kern w:val="0"/>
                <w:szCs w:val="21"/>
              </w:rPr>
            </w:pPr>
            <w:r>
              <w:rPr>
                <w:rFonts w:ascii="仿宋_GB2312" w:hAnsi="仿宋" w:eastAsia="仿宋_GB2312" w:cs="宋体"/>
                <w:color w:val="auto"/>
                <w:kern w:val="0"/>
                <w:szCs w:val="21"/>
              </w:rPr>
              <w:t>投标履约情况</w:t>
            </w:r>
          </w:p>
        </w:tc>
        <w:tc>
          <w:tcPr>
            <w:tcW w:w="771" w:type="pc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宋体"/>
                <w:color w:val="auto"/>
                <w:kern w:val="0"/>
                <w:szCs w:val="21"/>
              </w:rPr>
            </w:pPr>
            <w:r>
              <w:rPr>
                <w:rFonts w:hint="eastAsia" w:ascii="仿宋_GB2312" w:hAnsi="仿宋" w:eastAsia="仿宋_GB2312" w:cs="宋体"/>
                <w:color w:val="auto"/>
                <w:kern w:val="0"/>
                <w:szCs w:val="21"/>
              </w:rPr>
              <w:t>17分</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s="宋体"/>
                <w:color w:val="auto"/>
                <w:kern w:val="0"/>
                <w:szCs w:val="21"/>
              </w:rPr>
            </w:pPr>
            <w:r>
              <w:rPr>
                <w:rFonts w:hint="eastAsia" w:ascii="仿宋_GB2312" w:hAnsi="仿宋" w:eastAsia="仿宋_GB2312" w:cs="宋体"/>
                <w:color w:val="auto"/>
                <w:kern w:val="0"/>
                <w:szCs w:val="21"/>
              </w:rPr>
              <w:t>执行法律法规</w:t>
            </w:r>
            <w:r>
              <w:rPr>
                <w:rFonts w:ascii="仿宋_GB2312" w:hAnsi="仿宋" w:eastAsia="仿宋_GB2312" w:cs="宋体"/>
                <w:color w:val="auto"/>
                <w:kern w:val="0"/>
                <w:szCs w:val="21"/>
              </w:rPr>
              <w:t>情况</w:t>
            </w:r>
          </w:p>
        </w:tc>
        <w:tc>
          <w:tcPr>
            <w:tcW w:w="771" w:type="pct"/>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600" w:lineRule="exact"/>
              <w:jc w:val="both"/>
              <w:rPr>
                <w:rFonts w:ascii="仿宋_GB2312" w:hAnsi="仿宋" w:eastAsia="仿宋_GB2312"/>
                <w:color w:val="auto"/>
                <w:sz w:val="21"/>
                <w:szCs w:val="21"/>
              </w:rPr>
            </w:pPr>
            <w:r>
              <w:rPr>
                <w:rFonts w:hint="eastAsia" w:ascii="仿宋_GB2312" w:hAnsi="仿宋" w:eastAsia="仿宋_GB2312"/>
                <w:color w:val="auto"/>
                <w:sz w:val="21"/>
                <w:szCs w:val="21"/>
              </w:rPr>
              <w:t>10分</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bCs/>
                <w:color w:val="auto"/>
                <w:szCs w:val="21"/>
              </w:rPr>
              <w:t>教育培训</w:t>
            </w:r>
          </w:p>
        </w:tc>
        <w:tc>
          <w:tcPr>
            <w:tcW w:w="771" w:type="pc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olor w:val="auto"/>
                <w:szCs w:val="21"/>
              </w:rPr>
            </w:pPr>
            <w:r>
              <w:rPr>
                <w:rFonts w:hint="eastAsia" w:ascii="仿宋_GB2312" w:hAnsi="仿宋" w:eastAsia="仿宋_GB2312"/>
                <w:color w:val="auto"/>
                <w:szCs w:val="21"/>
              </w:rPr>
              <w:t>5分</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合计得分</w:t>
            </w:r>
          </w:p>
        </w:tc>
        <w:tc>
          <w:tcPr>
            <w:tcW w:w="771" w:type="pc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olor w:val="auto"/>
                <w:szCs w:val="21"/>
              </w:rPr>
            </w:pPr>
            <w:r>
              <w:rPr>
                <w:rFonts w:hint="eastAsia" w:ascii="仿宋_GB2312" w:hAnsi="仿宋" w:eastAsia="仿宋_GB2312" w:cs="宋体"/>
                <w:color w:val="auto"/>
                <w:kern w:val="0"/>
                <w:szCs w:val="21"/>
              </w:rPr>
              <w:t>100分</w:t>
            </w:r>
          </w:p>
        </w:tc>
        <w:tc>
          <w:tcPr>
            <w:tcW w:w="1271" w:type="pct"/>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p>
        </w:tc>
        <w:tc>
          <w:tcPr>
            <w:tcW w:w="117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是否获得可直接评定为AAA级项目的奖项</w:t>
            </w:r>
          </w:p>
        </w:tc>
        <w:tc>
          <w:tcPr>
            <w:tcW w:w="1609" w:type="pct"/>
            <w:gridSpan w:val="2"/>
            <w:tcBorders>
              <w:top w:val="single" w:color="auto" w:sz="4" w:space="0"/>
              <w:left w:val="single" w:color="auto" w:sz="4" w:space="0"/>
              <w:right w:val="single" w:color="auto" w:sz="4" w:space="0"/>
            </w:tcBorders>
            <w:shd w:val="clear" w:color="auto" w:fill="auto"/>
            <w:vAlign w:val="center"/>
          </w:tcPr>
          <w:p>
            <w:pPr>
              <w:spacing w:line="600" w:lineRule="exact"/>
              <w:rPr>
                <w:rFonts w:ascii="仿宋_GB2312" w:hAnsi="仿宋" w:eastAsia="仿宋_GB2312"/>
                <w:color w:val="auto"/>
                <w:szCs w:val="21"/>
              </w:rPr>
            </w:pPr>
            <w:r>
              <w:rPr>
                <w:rFonts w:hint="eastAsia" w:ascii="仿宋_GB2312" w:hAnsi="仿宋" w:eastAsia="仿宋_GB2312"/>
                <w:color w:val="auto"/>
                <w:szCs w:val="21"/>
              </w:rPr>
              <w:t>是否存在应直接评定为B级行为</w:t>
            </w:r>
          </w:p>
        </w:tc>
        <w:tc>
          <w:tcPr>
            <w:tcW w:w="1608" w:type="pct"/>
            <w:gridSpan w:val="2"/>
            <w:tcBorders>
              <w:top w:val="single" w:color="auto" w:sz="4" w:space="0"/>
              <w:left w:val="single" w:color="auto" w:sz="4" w:space="0"/>
              <w:right w:val="single" w:color="auto" w:sz="4" w:space="0"/>
            </w:tcBorders>
            <w:shd w:val="clear" w:color="auto" w:fill="auto"/>
            <w:vAlign w:val="center"/>
          </w:tcPr>
          <w:p>
            <w:pPr>
              <w:spacing w:line="600" w:lineRule="exact"/>
              <w:rPr>
                <w:rFonts w:ascii="仿宋_GB2312" w:hAnsi="仿宋" w:eastAsia="仿宋_GB2312"/>
                <w:color w:val="auto"/>
                <w:szCs w:val="21"/>
              </w:rPr>
            </w:pPr>
            <w:r>
              <w:rPr>
                <w:rFonts w:hint="eastAsia" w:ascii="仿宋_GB2312" w:hAnsi="仿宋" w:eastAsia="仿宋_GB2312"/>
                <w:color w:val="auto"/>
                <w:szCs w:val="21"/>
              </w:rPr>
              <w:t>是否存在应降一级处理行为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□有      □无</w:t>
            </w:r>
          </w:p>
        </w:tc>
        <w:tc>
          <w:tcPr>
            <w:tcW w:w="1609" w:type="pct"/>
            <w:gridSpan w:val="2"/>
            <w:tcBorders>
              <w:top w:val="single" w:color="auto" w:sz="4" w:space="0"/>
              <w:left w:val="single" w:color="auto" w:sz="4" w:space="0"/>
              <w:right w:val="single" w:color="auto" w:sz="4" w:space="0"/>
            </w:tcBorders>
            <w:shd w:val="clear" w:color="auto" w:fill="auto"/>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□有      □无</w:t>
            </w:r>
          </w:p>
        </w:tc>
        <w:tc>
          <w:tcPr>
            <w:tcW w:w="1608" w:type="pct"/>
            <w:gridSpan w:val="2"/>
            <w:tcBorders>
              <w:top w:val="single" w:color="auto" w:sz="4" w:space="0"/>
              <w:left w:val="single" w:color="auto" w:sz="4" w:space="0"/>
              <w:right w:val="single" w:color="auto" w:sz="4" w:space="0"/>
            </w:tcBorders>
            <w:shd w:val="clear" w:color="auto" w:fill="auto"/>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782"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200"/>
              <w:rPr>
                <w:rFonts w:ascii="仿宋_GB2312" w:hAnsi="仿宋" w:eastAsia="仿宋_GB2312"/>
                <w:color w:val="auto"/>
                <w:szCs w:val="21"/>
              </w:rPr>
            </w:pPr>
            <w:r>
              <w:rPr>
                <w:rFonts w:hint="eastAsia" w:ascii="仿宋_GB2312" w:hAnsi="仿宋" w:eastAsia="仿宋_GB2312"/>
                <w:color w:val="auto"/>
                <w:szCs w:val="21"/>
              </w:rPr>
              <w:t>评定等级建议</w:t>
            </w:r>
          </w:p>
        </w:tc>
        <w:tc>
          <w:tcPr>
            <w:tcW w:w="3218" w:type="pct"/>
            <w:gridSpan w:val="4"/>
            <w:tcBorders>
              <w:top w:val="single" w:color="auto" w:sz="4" w:space="0"/>
              <w:left w:val="single" w:color="auto" w:sz="4" w:space="0"/>
              <w:right w:val="single" w:color="auto" w:sz="4" w:space="0"/>
            </w:tcBorders>
            <w:shd w:val="clear" w:color="auto" w:fill="auto"/>
            <w:vAlign w:val="center"/>
          </w:tcPr>
          <w:p>
            <w:pPr>
              <w:spacing w:line="600" w:lineRule="exact"/>
              <w:ind w:firstLine="420" w:firstLineChars="200"/>
              <w:rPr>
                <w:rFonts w:ascii="仿宋_GB2312" w:hAnsi="仿宋" w:eastAsia="仿宋_GB2312"/>
                <w:color w:val="auto"/>
                <w:szCs w:val="21"/>
              </w:rPr>
            </w:pPr>
          </w:p>
        </w:tc>
      </w:tr>
    </w:tbl>
    <w:p>
      <w:pPr>
        <w:spacing w:line="600" w:lineRule="exact"/>
        <w:ind w:right="2100" w:rightChars="1000"/>
        <w:jc w:val="right"/>
        <w:rPr>
          <w:rFonts w:ascii="仿宋_GB2312" w:hAnsi="仿宋" w:eastAsia="仿宋_GB2312"/>
          <w:color w:val="auto"/>
          <w:sz w:val="32"/>
          <w:szCs w:val="32"/>
        </w:rPr>
      </w:pPr>
    </w:p>
    <w:p>
      <w:pPr>
        <w:spacing w:line="600" w:lineRule="exact"/>
        <w:ind w:right="2100" w:rightChars="1000"/>
        <w:jc w:val="both"/>
        <w:rPr>
          <w:rFonts w:ascii="仿宋_GB2312" w:hAnsi="仿宋" w:eastAsia="仿宋_GB2312"/>
          <w:color w:val="auto"/>
          <w:sz w:val="32"/>
          <w:szCs w:val="32"/>
        </w:rPr>
      </w:pPr>
      <w:r>
        <w:rPr>
          <w:rFonts w:hint="eastAsia" w:ascii="仿宋_GB2312" w:hAnsi="仿宋" w:eastAsia="仿宋_GB2312"/>
          <w:color w:val="auto"/>
          <w:sz w:val="32"/>
          <w:szCs w:val="32"/>
        </w:rPr>
        <w:t>评价委员会成员签名：</w:t>
      </w:r>
    </w:p>
    <w:p>
      <w:pPr>
        <w:spacing w:line="600" w:lineRule="exact"/>
        <w:ind w:right="1680" w:rightChars="800"/>
        <w:jc w:val="right"/>
        <w:rPr>
          <w:rFonts w:hint="eastAsia" w:ascii="仿宋_GB2312" w:hAnsi="仿宋" w:eastAsia="仿宋_GB2312"/>
          <w:color w:val="auto"/>
          <w:sz w:val="32"/>
          <w:szCs w:val="32"/>
        </w:rPr>
      </w:pPr>
    </w:p>
    <w:p>
      <w:pPr>
        <w:spacing w:line="600" w:lineRule="exact"/>
        <w:ind w:right="1680" w:rightChars="800"/>
        <w:jc w:val="right"/>
        <w:rPr>
          <w:rFonts w:ascii="仿宋_GB2312" w:hAnsi="仿宋" w:eastAsia="仿宋_GB2312"/>
          <w:color w:val="auto"/>
          <w:sz w:val="32"/>
          <w:szCs w:val="32"/>
        </w:rPr>
      </w:pPr>
      <w:r>
        <w:rPr>
          <w:rFonts w:hint="eastAsia" w:ascii="仿宋_GB2312" w:hAnsi="仿宋" w:eastAsia="仿宋_GB2312"/>
          <w:color w:val="auto"/>
          <w:sz w:val="32"/>
          <w:szCs w:val="32"/>
        </w:rPr>
        <w:t>年    月    日</w:t>
      </w:r>
    </w:p>
    <w:p>
      <w:pPr>
        <w:spacing w:line="600" w:lineRule="exact"/>
        <w:ind w:firstLine="640" w:firstLineChars="200"/>
        <w:rPr>
          <w:rFonts w:ascii="仿宋_GB2312" w:hAnsi="仿宋" w:eastAsia="仿宋_GB2312"/>
          <w:color w:val="auto"/>
          <w:sz w:val="32"/>
          <w:szCs w:val="32"/>
        </w:rPr>
      </w:pPr>
    </w:p>
    <w:p>
      <w:pPr>
        <w:tabs>
          <w:tab w:val="left" w:pos="435"/>
        </w:tabs>
        <w:spacing w:line="600" w:lineRule="exact"/>
        <w:ind w:firstLine="640" w:firstLineChars="200"/>
        <w:rPr>
          <w:rFonts w:ascii="仿宋_GB2312" w:hAnsi="仿宋" w:eastAsia="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947E2"/>
    <w:rsid w:val="2479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ascii="仿宋_GB2312" w:eastAsia="仿宋_GB2312"/>
      <w:szCs w:val="20"/>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2020-09-21T03:17:00Z</dcterms:created>
  <dc:creator>ZENGYUYI</dc:creator>
  <cp:lastModifiedBy>ZENGYUYI</cp:lastModifiedBy>
  <dcterms:modified xsi:type="dcterms:W3CDTF">2020-09-21T03:18:26Z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